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38DC" w14:textId="77777777" w:rsidR="00D602B9" w:rsidRDefault="00D602B9" w:rsidP="00C77DB7"/>
    <w:p w14:paraId="780B9947" w14:textId="77777777" w:rsidR="005A2A40" w:rsidRDefault="005A2A40" w:rsidP="00C77DB7"/>
    <w:p w14:paraId="0C50D373" w14:textId="77777777" w:rsidR="005A2A40" w:rsidRDefault="005A2A40" w:rsidP="00C77DB7">
      <w:r>
        <w:t>Rahandusministeerium</w:t>
      </w:r>
    </w:p>
    <w:p w14:paraId="13CC8C5E" w14:textId="77777777" w:rsidR="005A2A40" w:rsidRDefault="005A2A40" w:rsidP="00C77DB7">
      <w:r>
        <w:t>Suur-Ameerika 1, Tallinn 10122</w:t>
      </w:r>
    </w:p>
    <w:p w14:paraId="6AD519EF" w14:textId="77777777" w:rsidR="005A2A40" w:rsidRDefault="005A2A40" w:rsidP="00C77DB7"/>
    <w:p w14:paraId="5D297A9D" w14:textId="77777777" w:rsidR="00CA1C24" w:rsidRDefault="00CA1C24" w:rsidP="00C77DB7"/>
    <w:p w14:paraId="377A26D3" w14:textId="14DE581F" w:rsidR="00CA1C24" w:rsidRPr="00C77DB7" w:rsidRDefault="00E94CD2" w:rsidP="00C77DB7">
      <w:pPr>
        <w:jc w:val="center"/>
        <w:rPr>
          <w:b/>
          <w:bCs/>
        </w:rPr>
      </w:pPr>
      <w:r w:rsidRPr="00C77DB7">
        <w:rPr>
          <w:b/>
          <w:bCs/>
        </w:rPr>
        <w:t xml:space="preserve">Seisukoht </w:t>
      </w:r>
      <w:r w:rsidR="00553560" w:rsidRPr="00C77DB7">
        <w:rPr>
          <w:b/>
          <w:bCs/>
        </w:rPr>
        <w:t>krediidiasutuste</w:t>
      </w:r>
      <w:r w:rsidRPr="00C77DB7">
        <w:rPr>
          <w:b/>
          <w:bCs/>
        </w:rPr>
        <w:t xml:space="preserve"> seaduse</w:t>
      </w:r>
      <w:r w:rsidR="00C77DB7" w:rsidRPr="00C77DB7">
        <w:rPr>
          <w:b/>
          <w:bCs/>
        </w:rPr>
        <w:t xml:space="preserve"> </w:t>
      </w:r>
      <w:r w:rsidRPr="00C77DB7">
        <w:rPr>
          <w:b/>
          <w:bCs/>
        </w:rPr>
        <w:t>ja teiste seaduste muutmise seaduse eelnõule</w:t>
      </w:r>
    </w:p>
    <w:p w14:paraId="6A48E58D" w14:textId="77777777" w:rsidR="00E94CD2" w:rsidRPr="000427AE" w:rsidRDefault="00E94CD2" w:rsidP="00C77DB7"/>
    <w:p w14:paraId="7EE3467E" w14:textId="09F7C02D" w:rsidR="00F7499F" w:rsidRPr="005A2A40" w:rsidRDefault="00E94CD2" w:rsidP="00C77DB7">
      <w:pPr>
        <w:rPr>
          <w:rFonts w:asciiTheme="majorBidi" w:hAnsiTheme="majorBidi" w:cstheme="majorBidi"/>
          <w:szCs w:val="24"/>
        </w:rPr>
      </w:pPr>
      <w:r w:rsidRPr="005A2A40">
        <w:t xml:space="preserve">Täname võimaluse eest avaldada arvamust </w:t>
      </w:r>
      <w:r w:rsidR="00553560">
        <w:t>krediidiasutuste</w:t>
      </w:r>
      <w:r w:rsidR="005A2A40" w:rsidRPr="005A2A40">
        <w:t xml:space="preserve"> seaduse ja teiste seaduste muutmise seaduse eelnõu osas. </w:t>
      </w:r>
      <w:r w:rsidRPr="005A2A40">
        <w:t xml:space="preserve">Käesolevaga edastab Eesti Advokatuuri finantsõiguse komisjon oma liikmetelt kogutud kommentaarid </w:t>
      </w:r>
      <w:r w:rsidR="005A2A40">
        <w:t xml:space="preserve">nimetatud </w:t>
      </w:r>
      <w:r w:rsidR="005A2A40" w:rsidRPr="005A2A40">
        <w:t>eelnõule.</w:t>
      </w:r>
      <w:r w:rsidR="00A01E70">
        <w:t xml:space="preserve">      </w:t>
      </w:r>
    </w:p>
    <w:p w14:paraId="4D2C62BD" w14:textId="77777777" w:rsidR="00E94CD2" w:rsidRDefault="00E94CD2" w:rsidP="00C77DB7"/>
    <w:p w14:paraId="31AA0F16" w14:textId="4DBA223C" w:rsidR="00AE4A71" w:rsidRDefault="00AE4A71" w:rsidP="00C77DB7">
      <w:pPr>
        <w:pStyle w:val="ListParagraph"/>
      </w:pPr>
      <w:r>
        <w:t>KAS § 2</w:t>
      </w:r>
      <w:r w:rsidR="008C362C">
        <w:t xml:space="preserve"> lg 4</w:t>
      </w:r>
      <w:r w:rsidR="008C362C" w:rsidRPr="00C77DB7">
        <w:rPr>
          <w:vertAlign w:val="superscript"/>
        </w:rPr>
        <w:t>1</w:t>
      </w:r>
      <w:r w:rsidR="008C362C">
        <w:t xml:space="preserve"> </w:t>
      </w:r>
      <w:r w:rsidR="008C0574">
        <w:t>–</w:t>
      </w:r>
      <w:r w:rsidR="008C362C">
        <w:t xml:space="preserve"> </w:t>
      </w:r>
      <w:r w:rsidR="008C0574">
        <w:t xml:space="preserve">kolmanda riigi krediidiasutuse suhtes </w:t>
      </w:r>
      <w:r w:rsidR="00E6186D">
        <w:t xml:space="preserve">erand </w:t>
      </w:r>
      <w:r w:rsidR="00246D9B">
        <w:t xml:space="preserve">filiaali asutamise kohustusest </w:t>
      </w:r>
      <w:r w:rsidR="00E6186D">
        <w:t xml:space="preserve">investeerimisteenuste osutamisel </w:t>
      </w:r>
      <w:r w:rsidR="00246D9B">
        <w:t>–</w:t>
      </w:r>
      <w:r w:rsidR="00E6186D">
        <w:t xml:space="preserve"> </w:t>
      </w:r>
      <w:r w:rsidR="00947E33">
        <w:t xml:space="preserve">eelnõu seletuskiri </w:t>
      </w:r>
      <w:r w:rsidR="000705DD">
        <w:t xml:space="preserve">ei maini, et </w:t>
      </w:r>
      <w:r w:rsidR="00126653">
        <w:t xml:space="preserve">CRD VI artikli 21c lõike 4 ja artikli 47 lõike 2 </w:t>
      </w:r>
      <w:r w:rsidR="003A0D6D">
        <w:t>regulatsiooni</w:t>
      </w:r>
      <w:r w:rsidR="00453F49">
        <w:t xml:space="preserve"> ülevõtmisel oleks soovi direktiivi</w:t>
      </w:r>
      <w:r w:rsidR="006C66EF">
        <w:t>s</w:t>
      </w:r>
      <w:r w:rsidR="00453F49">
        <w:t xml:space="preserve"> </w:t>
      </w:r>
      <w:r w:rsidR="006C66EF">
        <w:t>sätestatust</w:t>
      </w:r>
      <w:r w:rsidR="00453F49">
        <w:t xml:space="preserve"> kõrvale kalduda. </w:t>
      </w:r>
      <w:r w:rsidR="00871EFB">
        <w:t xml:space="preserve">Pakutud sõnastust </w:t>
      </w:r>
      <w:r w:rsidR="00991452">
        <w:t xml:space="preserve">grammatiliselt tõlgendades kitsendab </w:t>
      </w:r>
      <w:r w:rsidR="00871EFB">
        <w:t xml:space="preserve">see </w:t>
      </w:r>
      <w:r w:rsidR="008803D7">
        <w:t>erandit</w:t>
      </w:r>
      <w:r w:rsidR="00991452">
        <w:t xml:space="preserve"> võrreldes direktiiviga ning selguse mõttes soovitaksime</w:t>
      </w:r>
      <w:r w:rsidR="00E924E4">
        <w:t xml:space="preserve"> sõnastada säte teisiti. </w:t>
      </w:r>
      <w:r w:rsidR="00FD1C45">
        <w:t xml:space="preserve">Artikli 47 lõike 2 </w:t>
      </w:r>
      <w:r w:rsidR="0085001D">
        <w:t>lause</w:t>
      </w:r>
      <w:r w:rsidR="00FD1C45">
        <w:t>osa, mis loetleb investeerimise kõrvalteenuseid</w:t>
      </w:r>
      <w:r w:rsidR="00DA5820">
        <w:t xml:space="preserve">, </w:t>
      </w:r>
      <w:r w:rsidR="009F7F6E">
        <w:t>on loetletud näid</w:t>
      </w:r>
      <w:r w:rsidR="00250BE9">
        <w:t>etena</w:t>
      </w:r>
      <w:r w:rsidR="004F4C9C">
        <w:t xml:space="preserve"> kasutades fraasi „</w:t>
      </w:r>
      <w:proofErr w:type="spellStart"/>
      <w:r w:rsidR="004F4C9C" w:rsidRPr="00C77DB7">
        <w:rPr>
          <w:i/>
          <w:iCs/>
        </w:rPr>
        <w:t>such</w:t>
      </w:r>
      <w:proofErr w:type="spellEnd"/>
      <w:r w:rsidR="004F4C9C" w:rsidRPr="00C77DB7">
        <w:rPr>
          <w:i/>
          <w:iCs/>
        </w:rPr>
        <w:t xml:space="preserve"> as</w:t>
      </w:r>
      <w:r w:rsidR="004F4C9C">
        <w:t>“ (ee k</w:t>
      </w:r>
      <w:r w:rsidR="008575DA">
        <w:t>.</w:t>
      </w:r>
      <w:r w:rsidR="004F4C9C">
        <w:t xml:space="preserve"> </w:t>
      </w:r>
      <w:r w:rsidR="004F4C9C" w:rsidRPr="00C77DB7">
        <w:rPr>
          <w:i/>
          <w:iCs/>
        </w:rPr>
        <w:t>nagu</w:t>
      </w:r>
      <w:r w:rsidR="004F4C9C">
        <w:t>)</w:t>
      </w:r>
      <w:r w:rsidR="00B7086E">
        <w:t>. Käesolev eelnõu loetleb sama loetelu fraasiga „</w:t>
      </w:r>
      <w:r w:rsidR="00B7086E" w:rsidRPr="00C77DB7">
        <w:rPr>
          <w:i/>
          <w:iCs/>
        </w:rPr>
        <w:t>mis on</w:t>
      </w:r>
      <w:r w:rsidR="00B7086E">
        <w:t xml:space="preserve">“, mis </w:t>
      </w:r>
      <w:r w:rsidR="00BC4B55">
        <w:t xml:space="preserve">grammatiliselt piirab kõrvalteenuseid ainult </w:t>
      </w:r>
      <w:r w:rsidR="00250BE9">
        <w:t xml:space="preserve">sättes </w:t>
      </w:r>
      <w:r w:rsidR="00BC4B55">
        <w:t>loetletud teenustega</w:t>
      </w:r>
      <w:r w:rsidR="005C2BD9">
        <w:t xml:space="preserve">, </w:t>
      </w:r>
      <w:r w:rsidR="00742D2F">
        <w:t>mis ei vasta direktiivi sõnastusele</w:t>
      </w:r>
      <w:r w:rsidR="005C2BD9">
        <w:t xml:space="preserve">. </w:t>
      </w:r>
      <w:r w:rsidR="00DE1B68">
        <w:t>CRD VI artikli 47 lõike 2</w:t>
      </w:r>
      <w:r w:rsidR="005C2BD9">
        <w:t xml:space="preserve"> eesmärk on lubada erandi kohaldamisalasse </w:t>
      </w:r>
      <w:r w:rsidR="002A47D2">
        <w:t xml:space="preserve">lisaks peamistele investeerimisteenustele ka </w:t>
      </w:r>
      <w:r w:rsidR="005C2BD9">
        <w:t>kõik kõrvalteenused</w:t>
      </w:r>
      <w:r w:rsidR="008B1A43">
        <w:t>,</w:t>
      </w:r>
      <w:r w:rsidR="005C2BD9">
        <w:t xml:space="preserve"> juhul kui n</w:t>
      </w:r>
      <w:r w:rsidR="005E052E">
        <w:t xml:space="preserve">ende osutamise eesmärk on </w:t>
      </w:r>
      <w:r w:rsidR="00DE1B68">
        <w:t xml:space="preserve">osutada teenuseid </w:t>
      </w:r>
      <w:proofErr w:type="spellStart"/>
      <w:r w:rsidR="004930A2">
        <w:t>MiFID</w:t>
      </w:r>
      <w:proofErr w:type="spellEnd"/>
      <w:r w:rsidR="004930A2">
        <w:t xml:space="preserve"> II (</w:t>
      </w:r>
      <w:r w:rsidR="0035278F">
        <w:t>E</w:t>
      </w:r>
      <w:r w:rsidR="004930A2">
        <w:t>esti õigusesse üle võetud VPTS) alusel.</w:t>
      </w:r>
      <w:r w:rsidR="002D5356">
        <w:t xml:space="preserve"> </w:t>
      </w:r>
      <w:r w:rsidR="00B21AAD">
        <w:t xml:space="preserve">Sellega seoses on ka </w:t>
      </w:r>
      <w:r w:rsidR="000422DB">
        <w:t xml:space="preserve">sätte lõpus ekslikult viidatud </w:t>
      </w:r>
      <w:r w:rsidR="00E70C08">
        <w:t>käesolevale seadusele,</w:t>
      </w:r>
      <w:r w:rsidR="00CD4236">
        <w:t xml:space="preserve"> mis peaks </w:t>
      </w:r>
      <w:r w:rsidR="00B42080">
        <w:t xml:space="preserve">tegelikult </w:t>
      </w:r>
      <w:r w:rsidR="00CD4236">
        <w:t>viitama VPTS-</w:t>
      </w:r>
      <w:proofErr w:type="spellStart"/>
      <w:r w:rsidR="00CD4236">
        <w:t>le</w:t>
      </w:r>
      <w:proofErr w:type="spellEnd"/>
      <w:r w:rsidR="00CD4236">
        <w:t>.</w:t>
      </w:r>
    </w:p>
    <w:p w14:paraId="5BD1C37A" w14:textId="5E1A4A87" w:rsidR="00E94CD2" w:rsidRPr="00E94CD2" w:rsidRDefault="00E94CD2" w:rsidP="00C77DB7">
      <w:r w:rsidRPr="00E94CD2">
        <w:t> </w:t>
      </w:r>
    </w:p>
    <w:p w14:paraId="2F966838" w14:textId="78C041F8" w:rsidR="00EE52EF" w:rsidRDefault="00E94CD2" w:rsidP="0035278F">
      <w:r w:rsidRPr="00E94CD2">
        <w:rPr>
          <w:b/>
          <w:bCs/>
        </w:rPr>
        <w:t>Ettepanek:</w:t>
      </w:r>
      <w:r w:rsidRPr="00E94CD2">
        <w:t xml:space="preserve"> </w:t>
      </w:r>
      <w:r w:rsidR="00E524D3">
        <w:t>asendada KAS § 2 lg 4</w:t>
      </w:r>
      <w:r w:rsidR="00E524D3">
        <w:rPr>
          <w:vertAlign w:val="superscript"/>
        </w:rPr>
        <w:t>1</w:t>
      </w:r>
      <w:r w:rsidR="00E524D3">
        <w:t xml:space="preserve"> sõnastus</w:t>
      </w:r>
      <w:r w:rsidR="00783A3A">
        <w:t xml:space="preserve"> lauses</w:t>
      </w:r>
      <w:r w:rsidR="00E524D3">
        <w:t xml:space="preserve"> „</w:t>
      </w:r>
      <w:r w:rsidR="00715999">
        <w:t>[</w:t>
      </w:r>
      <w:r w:rsidR="00DF0360">
        <w:t>...</w:t>
      </w:r>
      <w:r w:rsidR="00715999">
        <w:t>]</w:t>
      </w:r>
      <w:r w:rsidR="00DF0360">
        <w:t xml:space="preserve"> </w:t>
      </w:r>
      <w:r w:rsidR="00DF0360" w:rsidRPr="00B42080">
        <w:t xml:space="preserve">sealhulgas mis tahes kõrvalteenuse, </w:t>
      </w:r>
      <w:r w:rsidR="00DF0360" w:rsidRPr="00B42080">
        <w:rPr>
          <w:b/>
          <w:bCs/>
          <w:u w:val="single"/>
        </w:rPr>
        <w:t>mis</w:t>
      </w:r>
      <w:r w:rsidR="00DF0360" w:rsidRPr="00B42080">
        <w:rPr>
          <w:u w:val="single"/>
        </w:rPr>
        <w:t xml:space="preserve"> </w:t>
      </w:r>
      <w:r w:rsidR="00DF0360" w:rsidRPr="00B42080">
        <w:rPr>
          <w:b/>
          <w:bCs/>
          <w:u w:val="single"/>
        </w:rPr>
        <w:t>on</w:t>
      </w:r>
      <w:r w:rsidR="00DF0360" w:rsidRPr="00B42080">
        <w:t xml:space="preserve"> seotud</w:t>
      </w:r>
      <w:r w:rsidR="00073A7E" w:rsidRPr="00B42080">
        <w:t xml:space="preserve"> hoiuste kaasamise</w:t>
      </w:r>
      <w:r w:rsidR="00715999" w:rsidRPr="00B42080">
        <w:t xml:space="preserve"> </w:t>
      </w:r>
      <w:r w:rsidR="00715999">
        <w:t>[...]“</w:t>
      </w:r>
      <w:r w:rsidR="008303F9">
        <w:t xml:space="preserve"> järgneva</w:t>
      </w:r>
      <w:r w:rsidR="00715999">
        <w:t xml:space="preserve"> </w:t>
      </w:r>
      <w:r w:rsidR="00783A3A">
        <w:t xml:space="preserve">sõnastusega „[...] </w:t>
      </w:r>
      <w:r w:rsidR="00783A3A" w:rsidRPr="00B42080">
        <w:t xml:space="preserve">sealhulgas mis tahes </w:t>
      </w:r>
      <w:proofErr w:type="spellStart"/>
      <w:r w:rsidR="00783A3A" w:rsidRPr="00B42080">
        <w:t>kõrvalteenuse</w:t>
      </w:r>
      <w:proofErr w:type="spellEnd"/>
      <w:r w:rsidR="00783A3A" w:rsidRPr="00B42080">
        <w:t xml:space="preserve">, </w:t>
      </w:r>
      <w:r w:rsidR="00783A3A" w:rsidRPr="00B42080">
        <w:rPr>
          <w:b/>
          <w:bCs/>
          <w:u w:val="single"/>
        </w:rPr>
        <w:t>nagu</w:t>
      </w:r>
      <w:r w:rsidR="00783A3A" w:rsidRPr="00B42080">
        <w:t xml:space="preserve"> seotud </w:t>
      </w:r>
      <w:r w:rsidR="00073A7E" w:rsidRPr="00B42080">
        <w:t>hoiuste kaasamise</w:t>
      </w:r>
      <w:r w:rsidR="00026E1E">
        <w:t xml:space="preserve"> </w:t>
      </w:r>
      <w:r w:rsidR="00783A3A">
        <w:t>[...]“</w:t>
      </w:r>
      <w:r w:rsidR="00E325C9">
        <w:t xml:space="preserve"> ning </w:t>
      </w:r>
      <w:r w:rsidR="002627FD">
        <w:t xml:space="preserve">parandada viite sõnastus „[...] </w:t>
      </w:r>
      <w:r w:rsidR="008303F9" w:rsidRPr="008303F9">
        <w:rPr>
          <w:b/>
          <w:bCs/>
          <w:u w:val="single"/>
        </w:rPr>
        <w:t>käesoleva</w:t>
      </w:r>
      <w:r w:rsidR="008303F9">
        <w:t xml:space="preserve"> seaduse alusel [...]“ järgneva sõnastusega „[...] </w:t>
      </w:r>
      <w:r w:rsidR="0035278F" w:rsidRPr="0035278F">
        <w:rPr>
          <w:b/>
          <w:bCs/>
          <w:u w:val="single"/>
        </w:rPr>
        <w:t xml:space="preserve">väärtpaberituru </w:t>
      </w:r>
      <w:r w:rsidR="00791BDA">
        <w:t xml:space="preserve"> seaduse alusel [...]“.</w:t>
      </w:r>
    </w:p>
    <w:p w14:paraId="3295876C" w14:textId="77777777" w:rsidR="0035278F" w:rsidRDefault="0035278F" w:rsidP="0035278F">
      <w:pPr>
        <w:rPr>
          <w:b/>
          <w:bCs/>
        </w:rPr>
      </w:pPr>
    </w:p>
    <w:p w14:paraId="22A79E59" w14:textId="42D23DB0" w:rsidR="0035278F" w:rsidRPr="0035278F" w:rsidRDefault="0035278F" w:rsidP="0035278F">
      <w:pPr>
        <w:pStyle w:val="ListParagraph"/>
      </w:pPr>
      <w:r w:rsidRPr="0035278F">
        <w:t>KAS § 3</w:t>
      </w:r>
      <w:r w:rsidRPr="0035278F">
        <w:rPr>
          <w:vertAlign w:val="superscript"/>
        </w:rPr>
        <w:t>1</w:t>
      </w:r>
      <w:r w:rsidRPr="0035278F">
        <w:t> täiendamine lõikega 4</w:t>
      </w:r>
      <w:r>
        <w:t xml:space="preserve"> - </w:t>
      </w:r>
      <w:r w:rsidRPr="0035278F">
        <w:t>sõnastuses „kelle peakontor asub kolmandas riigis ja kes on asutatud Eestis kolmanda riigi krediidiasutuse filiaali“ on kirjaviga. Sõna „asutatud“ peaks olema „</w:t>
      </w:r>
      <w:r w:rsidRPr="0035278F">
        <w:rPr>
          <w:b/>
          <w:bCs/>
          <w:u w:val="single"/>
        </w:rPr>
        <w:t>asutanud</w:t>
      </w:r>
      <w:r w:rsidRPr="0035278F">
        <w:t>“.</w:t>
      </w:r>
    </w:p>
    <w:p w14:paraId="3EFE3F0C" w14:textId="77777777" w:rsidR="0035278F" w:rsidRPr="00791BDA" w:rsidRDefault="0035278F" w:rsidP="0035278F"/>
    <w:p w14:paraId="6AA91C9E" w14:textId="6A1FA5ED" w:rsidR="00810014" w:rsidRDefault="0035278F" w:rsidP="00C77DB7">
      <w:r w:rsidRPr="00C545E1">
        <w:rPr>
          <w:b/>
          <w:bCs/>
        </w:rPr>
        <w:t>Ettepanek</w:t>
      </w:r>
      <w:r>
        <w:t>: parandada kirjaviga.</w:t>
      </w:r>
    </w:p>
    <w:p w14:paraId="1DBE91F3" w14:textId="77777777" w:rsidR="0035278F" w:rsidRDefault="0035278F" w:rsidP="00C77DB7"/>
    <w:p w14:paraId="60D4F173" w14:textId="1065B808" w:rsidR="00810014" w:rsidRPr="00C77DB7" w:rsidRDefault="005A4877" w:rsidP="00C77DB7">
      <w:pPr>
        <w:pStyle w:val="ListParagraph"/>
        <w:rPr>
          <w:rFonts w:ascii="Calibri" w:hAnsi="Calibri"/>
          <w:sz w:val="22"/>
          <w:szCs w:val="22"/>
        </w:rPr>
      </w:pPr>
      <w:r>
        <w:t>KAS § 20</w:t>
      </w:r>
      <w:r w:rsidRPr="00C77DB7">
        <w:rPr>
          <w:vertAlign w:val="superscript"/>
        </w:rPr>
        <w:t>6</w:t>
      </w:r>
      <w:r w:rsidR="00AB27C0">
        <w:t xml:space="preserve"> lg 3</w:t>
      </w:r>
      <w:r w:rsidR="00AB27C0" w:rsidRPr="00C77DB7">
        <w:rPr>
          <w:vertAlign w:val="superscript"/>
        </w:rPr>
        <w:t>2</w:t>
      </w:r>
      <w:r w:rsidR="00AB27C0">
        <w:t xml:space="preserve"> – oma initsiatiivi tõlgendamine</w:t>
      </w:r>
      <w:r w:rsidR="005A59B1">
        <w:t xml:space="preserve"> käesoleva paragrahvi mõistes</w:t>
      </w:r>
      <w:r w:rsidR="00AB27C0">
        <w:t xml:space="preserve"> </w:t>
      </w:r>
      <w:r w:rsidR="005A2264">
        <w:t>–</w:t>
      </w:r>
      <w:r w:rsidR="00AB27C0">
        <w:t xml:space="preserve"> </w:t>
      </w:r>
      <w:r w:rsidR="005A2264">
        <w:t xml:space="preserve">sarnaselt eelnevale ettepanekule, ei maini eelnõu seletuskiri, et CRD VI </w:t>
      </w:r>
      <w:r w:rsidR="00FC79BB">
        <w:t xml:space="preserve">artikli 21c lõike 2 teise alalõike </w:t>
      </w:r>
      <w:r w:rsidR="003A0D6D">
        <w:t>regulatsiooni</w:t>
      </w:r>
      <w:r w:rsidR="00FC79BB">
        <w:t xml:space="preserve"> ülevõtmisega </w:t>
      </w:r>
      <w:r w:rsidR="002D7B6A">
        <w:t>oleks soovi direktiivi</w:t>
      </w:r>
      <w:r w:rsidR="006C66EF">
        <w:t>s</w:t>
      </w:r>
      <w:r w:rsidR="002D7B6A">
        <w:t xml:space="preserve"> </w:t>
      </w:r>
      <w:r w:rsidR="006C66EF">
        <w:t>sätestatust</w:t>
      </w:r>
      <w:r w:rsidR="002D7B6A">
        <w:t xml:space="preserve"> kõrvale kalduda. </w:t>
      </w:r>
      <w:r w:rsidR="003F7465">
        <w:t xml:space="preserve">Eelkõige tekitab segadust sõnastus </w:t>
      </w:r>
      <w:r w:rsidR="00DE36B9">
        <w:t xml:space="preserve">„[...] </w:t>
      </w:r>
      <w:r w:rsidR="00DE36B9" w:rsidRPr="00C77DB7">
        <w:rPr>
          <w:i/>
          <w:iCs/>
        </w:rPr>
        <w:t xml:space="preserve">välisriigi </w:t>
      </w:r>
      <w:r w:rsidR="00DE36B9" w:rsidRPr="00C77DB7">
        <w:rPr>
          <w:i/>
          <w:iCs/>
        </w:rPr>
        <w:lastRenderedPageBreak/>
        <w:t>ettevõtja nimel või välisriigi ettevõtjast eraldiseisvalt [...]</w:t>
      </w:r>
      <w:r w:rsidR="00DE36B9">
        <w:t>“</w:t>
      </w:r>
      <w:r w:rsidR="004A0A91">
        <w:t xml:space="preserve">, sest nimetatud sõnastust </w:t>
      </w:r>
      <w:r w:rsidR="00655D97">
        <w:t>me ei tuvasta</w:t>
      </w:r>
      <w:r w:rsidR="004A0A91">
        <w:t xml:space="preserve"> direktiivi tekstist.</w:t>
      </w:r>
      <w:r w:rsidR="0050030C">
        <w:t xml:space="preserve"> </w:t>
      </w:r>
      <w:r w:rsidR="00DB5EDE">
        <w:t xml:space="preserve">Direktiivi sõnastus kasutab </w:t>
      </w:r>
      <w:r w:rsidR="00C6745F">
        <w:t>tõesti</w:t>
      </w:r>
      <w:r w:rsidR="00DB5EDE">
        <w:t xml:space="preserve"> terminit „</w:t>
      </w:r>
      <w:proofErr w:type="spellStart"/>
      <w:r w:rsidR="00DB5EDE" w:rsidRPr="00C77DB7">
        <w:rPr>
          <w:i/>
          <w:iCs/>
        </w:rPr>
        <w:t>third-country</w:t>
      </w:r>
      <w:proofErr w:type="spellEnd"/>
      <w:r w:rsidR="00DB5EDE" w:rsidRPr="00C77DB7">
        <w:rPr>
          <w:i/>
          <w:iCs/>
        </w:rPr>
        <w:t xml:space="preserve"> </w:t>
      </w:r>
      <w:proofErr w:type="spellStart"/>
      <w:r w:rsidR="00DB5EDE" w:rsidRPr="00C77DB7">
        <w:rPr>
          <w:i/>
          <w:iCs/>
        </w:rPr>
        <w:t>undertaking</w:t>
      </w:r>
      <w:proofErr w:type="spellEnd"/>
      <w:r w:rsidR="00DB5EDE">
        <w:t xml:space="preserve">“, mis </w:t>
      </w:r>
      <w:r w:rsidR="002F500D">
        <w:t>tõlgituna on „</w:t>
      </w:r>
      <w:r w:rsidR="002F500D" w:rsidRPr="00C77DB7">
        <w:rPr>
          <w:i/>
          <w:iCs/>
        </w:rPr>
        <w:t>välisriigi ettevõtja</w:t>
      </w:r>
      <w:r w:rsidR="002F500D">
        <w:t>“</w:t>
      </w:r>
      <w:r w:rsidR="00381ABD">
        <w:t>, kuid fraas</w:t>
      </w:r>
      <w:r w:rsidR="00EF4FAA">
        <w:t>e</w:t>
      </w:r>
      <w:r w:rsidR="00381ABD">
        <w:t xml:space="preserve"> „</w:t>
      </w:r>
      <w:r w:rsidR="00381ABD" w:rsidRPr="00C77DB7">
        <w:rPr>
          <w:i/>
          <w:iCs/>
        </w:rPr>
        <w:t>nimel</w:t>
      </w:r>
      <w:r w:rsidR="00381ABD">
        <w:t>“ ja „</w:t>
      </w:r>
      <w:r w:rsidR="00381ABD" w:rsidRPr="00C77DB7">
        <w:rPr>
          <w:i/>
          <w:iCs/>
        </w:rPr>
        <w:t>eraldiseisvalt</w:t>
      </w:r>
      <w:r w:rsidR="00381ABD">
        <w:t xml:space="preserve">“ direktiivi sõnastus ei kasuta. </w:t>
      </w:r>
      <w:r w:rsidR="004D2A77">
        <w:t xml:space="preserve">Samuti leiame, et </w:t>
      </w:r>
      <w:r w:rsidR="00395A7F">
        <w:t>lause „</w:t>
      </w:r>
      <w:r w:rsidR="00395A7F" w:rsidRPr="00C77DB7">
        <w:rPr>
          <w:i/>
          <w:iCs/>
        </w:rPr>
        <w:t>[</w:t>
      </w:r>
      <w:r w:rsidR="00395A7F">
        <w:t>...</w:t>
      </w:r>
      <w:r w:rsidR="00395A7F" w:rsidRPr="00C77DB7">
        <w:rPr>
          <w:i/>
          <w:iCs/>
        </w:rPr>
        <w:t>]</w:t>
      </w:r>
      <w:r w:rsidR="00395A7F">
        <w:t xml:space="preserve"> </w:t>
      </w:r>
      <w:r w:rsidR="00395A7F" w:rsidRPr="00C77DB7">
        <w:rPr>
          <w:i/>
          <w:iCs/>
        </w:rPr>
        <w:t>kolmas isik iseseisvalt või läbi teise isiku [...]</w:t>
      </w:r>
      <w:r w:rsidR="00395A7F">
        <w:t>“</w:t>
      </w:r>
      <w:r w:rsidR="005F32B5">
        <w:t xml:space="preserve"> on tõlgitud vigaselt </w:t>
      </w:r>
      <w:r w:rsidR="00874B62">
        <w:t xml:space="preserve">ja puudulikult </w:t>
      </w:r>
      <w:r w:rsidR="005F32B5">
        <w:t>direktiivi lausest „</w:t>
      </w:r>
      <w:r w:rsidR="005F32B5" w:rsidRPr="00C77DB7">
        <w:rPr>
          <w:i/>
          <w:iCs/>
        </w:rPr>
        <w:t xml:space="preserve">[...] </w:t>
      </w:r>
      <w:proofErr w:type="spellStart"/>
      <w:r w:rsidR="00691AE0" w:rsidRPr="00C77DB7">
        <w:rPr>
          <w:i/>
          <w:iCs/>
        </w:rPr>
        <w:t>through</w:t>
      </w:r>
      <w:proofErr w:type="spellEnd"/>
      <w:r w:rsidR="00691AE0" w:rsidRPr="00C77DB7">
        <w:rPr>
          <w:i/>
          <w:iCs/>
        </w:rPr>
        <w:t xml:space="preserve"> </w:t>
      </w:r>
      <w:proofErr w:type="spellStart"/>
      <w:r w:rsidR="00691AE0" w:rsidRPr="00C77DB7">
        <w:rPr>
          <w:i/>
          <w:iCs/>
        </w:rPr>
        <w:t>an</w:t>
      </w:r>
      <w:proofErr w:type="spellEnd"/>
      <w:r w:rsidR="00691AE0" w:rsidRPr="00C77DB7">
        <w:rPr>
          <w:i/>
          <w:iCs/>
        </w:rPr>
        <w:t xml:space="preserve"> </w:t>
      </w:r>
      <w:proofErr w:type="spellStart"/>
      <w:r w:rsidR="00691AE0" w:rsidRPr="00C77DB7">
        <w:rPr>
          <w:i/>
          <w:iCs/>
        </w:rPr>
        <w:t>entity</w:t>
      </w:r>
      <w:proofErr w:type="spellEnd"/>
      <w:r w:rsidR="00691AE0" w:rsidRPr="00C77DB7">
        <w:rPr>
          <w:i/>
          <w:iCs/>
        </w:rPr>
        <w:t xml:space="preserve"> </w:t>
      </w:r>
      <w:proofErr w:type="spellStart"/>
      <w:r w:rsidR="00691AE0" w:rsidRPr="00C77DB7">
        <w:rPr>
          <w:i/>
          <w:iCs/>
        </w:rPr>
        <w:t>acting</w:t>
      </w:r>
      <w:proofErr w:type="spellEnd"/>
      <w:r w:rsidR="00691AE0" w:rsidRPr="00C77DB7">
        <w:rPr>
          <w:i/>
          <w:iCs/>
        </w:rPr>
        <w:t xml:space="preserve"> on </w:t>
      </w:r>
      <w:proofErr w:type="spellStart"/>
      <w:r w:rsidR="00691AE0" w:rsidRPr="00C77DB7">
        <w:rPr>
          <w:i/>
          <w:iCs/>
        </w:rPr>
        <w:t>its</w:t>
      </w:r>
      <w:proofErr w:type="spellEnd"/>
      <w:r w:rsidR="00691AE0" w:rsidRPr="00C77DB7">
        <w:rPr>
          <w:i/>
          <w:iCs/>
        </w:rPr>
        <w:t xml:space="preserve"> </w:t>
      </w:r>
      <w:proofErr w:type="spellStart"/>
      <w:r w:rsidR="00691AE0" w:rsidRPr="00C77DB7">
        <w:rPr>
          <w:i/>
          <w:iCs/>
        </w:rPr>
        <w:t>own</w:t>
      </w:r>
      <w:proofErr w:type="spellEnd"/>
      <w:r w:rsidR="00691AE0" w:rsidRPr="00C77DB7">
        <w:rPr>
          <w:i/>
          <w:iCs/>
        </w:rPr>
        <w:t xml:space="preserve"> </w:t>
      </w:r>
      <w:proofErr w:type="spellStart"/>
      <w:r w:rsidR="00691AE0" w:rsidRPr="00C77DB7">
        <w:rPr>
          <w:i/>
          <w:iCs/>
        </w:rPr>
        <w:t>behalf</w:t>
      </w:r>
      <w:proofErr w:type="spellEnd"/>
      <w:r w:rsidR="00691AE0" w:rsidRPr="00C77DB7">
        <w:rPr>
          <w:i/>
          <w:iCs/>
        </w:rPr>
        <w:t xml:space="preserve"> </w:t>
      </w:r>
      <w:proofErr w:type="spellStart"/>
      <w:r w:rsidR="00691AE0" w:rsidRPr="00C77DB7">
        <w:rPr>
          <w:i/>
          <w:iCs/>
        </w:rPr>
        <w:t>or</w:t>
      </w:r>
      <w:proofErr w:type="spellEnd"/>
      <w:r w:rsidR="00691AE0" w:rsidRPr="00C77DB7">
        <w:rPr>
          <w:i/>
          <w:iCs/>
        </w:rPr>
        <w:t xml:space="preserve"> </w:t>
      </w:r>
      <w:proofErr w:type="spellStart"/>
      <w:r w:rsidR="00691AE0" w:rsidRPr="00C77DB7">
        <w:rPr>
          <w:i/>
          <w:iCs/>
        </w:rPr>
        <w:t>having</w:t>
      </w:r>
      <w:proofErr w:type="spellEnd"/>
      <w:r w:rsidR="00691AE0" w:rsidRPr="00C77DB7">
        <w:rPr>
          <w:i/>
          <w:iCs/>
        </w:rPr>
        <w:t xml:space="preserve"> </w:t>
      </w:r>
      <w:proofErr w:type="spellStart"/>
      <w:r w:rsidR="00691AE0" w:rsidRPr="00C77DB7">
        <w:rPr>
          <w:i/>
          <w:iCs/>
        </w:rPr>
        <w:t>close</w:t>
      </w:r>
      <w:proofErr w:type="spellEnd"/>
      <w:r w:rsidR="00691AE0" w:rsidRPr="00C77DB7">
        <w:rPr>
          <w:i/>
          <w:iCs/>
        </w:rPr>
        <w:t xml:space="preserve"> </w:t>
      </w:r>
      <w:proofErr w:type="spellStart"/>
      <w:r w:rsidR="00691AE0" w:rsidRPr="00C77DB7">
        <w:rPr>
          <w:i/>
          <w:iCs/>
        </w:rPr>
        <w:t>links</w:t>
      </w:r>
      <w:proofErr w:type="spellEnd"/>
      <w:r w:rsidR="00691AE0" w:rsidRPr="00C77DB7">
        <w:rPr>
          <w:i/>
          <w:iCs/>
        </w:rPr>
        <w:t xml:space="preserve"> </w:t>
      </w:r>
      <w:proofErr w:type="spellStart"/>
      <w:r w:rsidR="00691AE0" w:rsidRPr="00C77DB7">
        <w:rPr>
          <w:i/>
          <w:iCs/>
        </w:rPr>
        <w:t>with</w:t>
      </w:r>
      <w:proofErr w:type="spellEnd"/>
      <w:r w:rsidR="00691AE0" w:rsidRPr="00C77DB7">
        <w:rPr>
          <w:i/>
          <w:iCs/>
        </w:rPr>
        <w:t xml:space="preserve"> </w:t>
      </w:r>
      <w:proofErr w:type="spellStart"/>
      <w:r w:rsidR="00691AE0" w:rsidRPr="00C77DB7">
        <w:rPr>
          <w:i/>
          <w:iCs/>
        </w:rPr>
        <w:t>such</w:t>
      </w:r>
      <w:proofErr w:type="spellEnd"/>
      <w:r w:rsidR="00691AE0" w:rsidRPr="00C77DB7">
        <w:rPr>
          <w:i/>
          <w:iCs/>
        </w:rPr>
        <w:t xml:space="preserve"> </w:t>
      </w:r>
      <w:proofErr w:type="spellStart"/>
      <w:r w:rsidR="00691AE0" w:rsidRPr="00C77DB7">
        <w:rPr>
          <w:i/>
          <w:iCs/>
        </w:rPr>
        <w:t>third-country</w:t>
      </w:r>
      <w:proofErr w:type="spellEnd"/>
      <w:r w:rsidR="00691AE0" w:rsidRPr="00C77DB7">
        <w:rPr>
          <w:i/>
          <w:iCs/>
        </w:rPr>
        <w:t xml:space="preserve"> </w:t>
      </w:r>
      <w:proofErr w:type="spellStart"/>
      <w:r w:rsidR="00691AE0" w:rsidRPr="00C77DB7">
        <w:rPr>
          <w:i/>
          <w:iCs/>
        </w:rPr>
        <w:t>undertaking</w:t>
      </w:r>
      <w:proofErr w:type="spellEnd"/>
      <w:r w:rsidR="007D3EF3" w:rsidRPr="00C77DB7">
        <w:rPr>
          <w:i/>
          <w:iCs/>
        </w:rPr>
        <w:t xml:space="preserve"> </w:t>
      </w:r>
      <w:proofErr w:type="spellStart"/>
      <w:r w:rsidR="007D3EF3" w:rsidRPr="00C77DB7">
        <w:rPr>
          <w:i/>
          <w:iCs/>
        </w:rPr>
        <w:t>or</w:t>
      </w:r>
      <w:proofErr w:type="spellEnd"/>
      <w:r w:rsidR="007D3EF3" w:rsidRPr="00C77DB7">
        <w:rPr>
          <w:i/>
          <w:iCs/>
        </w:rPr>
        <w:t xml:space="preserve"> </w:t>
      </w:r>
      <w:proofErr w:type="spellStart"/>
      <w:r w:rsidR="007D3EF3" w:rsidRPr="00C77DB7">
        <w:rPr>
          <w:i/>
          <w:iCs/>
        </w:rPr>
        <w:t>through</w:t>
      </w:r>
      <w:proofErr w:type="spellEnd"/>
      <w:r w:rsidR="007D3EF3" w:rsidRPr="00C77DB7">
        <w:rPr>
          <w:i/>
          <w:iCs/>
        </w:rPr>
        <w:t xml:space="preserve"> </w:t>
      </w:r>
      <w:proofErr w:type="spellStart"/>
      <w:r w:rsidR="007D3EF3" w:rsidRPr="00C77DB7">
        <w:rPr>
          <w:i/>
          <w:iCs/>
        </w:rPr>
        <w:t>any</w:t>
      </w:r>
      <w:proofErr w:type="spellEnd"/>
      <w:r w:rsidR="007D3EF3" w:rsidRPr="00C77DB7">
        <w:rPr>
          <w:i/>
          <w:iCs/>
        </w:rPr>
        <w:t xml:space="preserve"> </w:t>
      </w:r>
      <w:proofErr w:type="spellStart"/>
      <w:r w:rsidR="007D3EF3" w:rsidRPr="00C77DB7">
        <w:rPr>
          <w:i/>
          <w:iCs/>
        </w:rPr>
        <w:t>other</w:t>
      </w:r>
      <w:proofErr w:type="spellEnd"/>
      <w:r w:rsidR="007D3EF3" w:rsidRPr="00C77DB7">
        <w:rPr>
          <w:i/>
          <w:iCs/>
        </w:rPr>
        <w:t xml:space="preserve"> </w:t>
      </w:r>
      <w:proofErr w:type="spellStart"/>
      <w:r w:rsidR="007D3EF3" w:rsidRPr="00C77DB7">
        <w:rPr>
          <w:i/>
          <w:iCs/>
        </w:rPr>
        <w:t>person</w:t>
      </w:r>
      <w:proofErr w:type="spellEnd"/>
      <w:r w:rsidR="007D3EF3" w:rsidRPr="00C77DB7">
        <w:rPr>
          <w:i/>
          <w:iCs/>
        </w:rPr>
        <w:t xml:space="preserve"> </w:t>
      </w:r>
      <w:proofErr w:type="spellStart"/>
      <w:r w:rsidR="007D3EF3" w:rsidRPr="00C77DB7">
        <w:rPr>
          <w:i/>
          <w:iCs/>
        </w:rPr>
        <w:t>acting</w:t>
      </w:r>
      <w:proofErr w:type="spellEnd"/>
      <w:r w:rsidR="007D3EF3" w:rsidRPr="00C77DB7">
        <w:rPr>
          <w:i/>
          <w:iCs/>
        </w:rPr>
        <w:t xml:space="preserve"> on </w:t>
      </w:r>
      <w:proofErr w:type="spellStart"/>
      <w:r w:rsidR="007D3EF3" w:rsidRPr="00C77DB7">
        <w:rPr>
          <w:i/>
          <w:iCs/>
        </w:rPr>
        <w:t>behalf</w:t>
      </w:r>
      <w:proofErr w:type="spellEnd"/>
      <w:r w:rsidR="007D3EF3" w:rsidRPr="00C77DB7">
        <w:rPr>
          <w:i/>
          <w:iCs/>
        </w:rPr>
        <w:t xml:space="preserve"> of </w:t>
      </w:r>
      <w:proofErr w:type="spellStart"/>
      <w:r w:rsidR="007D3EF3" w:rsidRPr="00C77DB7">
        <w:rPr>
          <w:i/>
          <w:iCs/>
        </w:rPr>
        <w:t>such</w:t>
      </w:r>
      <w:proofErr w:type="spellEnd"/>
      <w:r w:rsidR="007D3EF3" w:rsidRPr="00C77DB7">
        <w:rPr>
          <w:i/>
          <w:iCs/>
        </w:rPr>
        <w:t xml:space="preserve"> </w:t>
      </w:r>
      <w:proofErr w:type="spellStart"/>
      <w:r w:rsidR="007D3EF3" w:rsidRPr="00C77DB7">
        <w:rPr>
          <w:i/>
          <w:iCs/>
        </w:rPr>
        <w:t>undertaking</w:t>
      </w:r>
      <w:proofErr w:type="spellEnd"/>
      <w:r w:rsidR="00691AE0" w:rsidRPr="00C77DB7">
        <w:rPr>
          <w:i/>
          <w:iCs/>
        </w:rPr>
        <w:t xml:space="preserve"> [...]</w:t>
      </w:r>
      <w:r w:rsidR="007861CC">
        <w:t>“</w:t>
      </w:r>
      <w:r w:rsidR="00C6745F">
        <w:t>.</w:t>
      </w:r>
    </w:p>
    <w:p w14:paraId="6A864CE2" w14:textId="77777777" w:rsidR="0050030C" w:rsidRDefault="0050030C" w:rsidP="00C77DB7"/>
    <w:p w14:paraId="4B8A37A1" w14:textId="61404BDC" w:rsidR="0050030C" w:rsidRDefault="0050030C" w:rsidP="00C77DB7">
      <w:r>
        <w:rPr>
          <w:b/>
          <w:bCs/>
        </w:rPr>
        <w:t>Ettepanek:</w:t>
      </w:r>
      <w:r>
        <w:t xml:space="preserve"> </w:t>
      </w:r>
      <w:r w:rsidR="00EF5F37">
        <w:t xml:space="preserve">pakume välja </w:t>
      </w:r>
      <w:r w:rsidR="00206C9C">
        <w:t>alternatiivse</w:t>
      </w:r>
      <w:r w:rsidR="00CD0F2D">
        <w:t xml:space="preserve"> sõnastuse tervele normile, et lahendada mõlemad nimetatud keelelised probleemid: „</w:t>
      </w:r>
      <w:r w:rsidR="00765107" w:rsidRPr="002F4493">
        <w:t>Käesoleva paragrahvi lõike 3</w:t>
      </w:r>
      <w:r w:rsidR="00765107" w:rsidRPr="002F4493">
        <w:rPr>
          <w:vertAlign w:val="superscript"/>
        </w:rPr>
        <w:t>1</w:t>
      </w:r>
      <w:r w:rsidR="00765107" w:rsidRPr="002F4493">
        <w:t xml:space="preserve"> punktis 1 nimetatud oma initsiatiivina ei käsitata olukorda, kus välisriigi ettevõtja pakub tooteid või teenuseid jaekliendile, võrdsele vastaspoolele või kutselisele investorile, läbi kolmanda isiku, kes tegutseb enda nimel või kes on välisriigi ettevõtjaga </w:t>
      </w:r>
      <w:r w:rsidR="007E3806" w:rsidRPr="002F4493">
        <w:t>tihedalt</w:t>
      </w:r>
      <w:r w:rsidR="00765107" w:rsidRPr="002F4493">
        <w:t xml:space="preserve"> seotud</w:t>
      </w:r>
      <w:r w:rsidR="00D00F9E" w:rsidRPr="002F4493">
        <w:t xml:space="preserve"> või mis tahes muu sellise välisriigi ettevõtja nimel tegutseva isiku kaudu</w:t>
      </w:r>
      <w:r w:rsidR="00765107">
        <w:t>.“</w:t>
      </w:r>
    </w:p>
    <w:p w14:paraId="46B6CE0B" w14:textId="77777777" w:rsidR="00C545E1" w:rsidRDefault="00C545E1" w:rsidP="00C77DB7"/>
    <w:p w14:paraId="719E8555" w14:textId="77777777" w:rsidR="00C545E1" w:rsidRDefault="00C545E1" w:rsidP="00C545E1">
      <w:pPr>
        <w:pStyle w:val="ListParagraph"/>
      </w:pPr>
      <w:r w:rsidRPr="00C545E1">
        <w:t>KAS § 20</w:t>
      </w:r>
      <w:r w:rsidRPr="00C545E1">
        <w:rPr>
          <w:vertAlign w:val="superscript"/>
        </w:rPr>
        <w:t>6</w:t>
      </w:r>
      <w:r w:rsidRPr="00C545E1">
        <w:t> täiendamine lõikega 3</w:t>
      </w:r>
      <w:r w:rsidRPr="00C545E1">
        <w:rPr>
          <w:vertAlign w:val="superscript"/>
        </w:rPr>
        <w:t>3</w:t>
      </w:r>
      <w:r>
        <w:rPr>
          <w:vertAlign w:val="superscript"/>
        </w:rPr>
        <w:t xml:space="preserve"> </w:t>
      </w:r>
      <w:r>
        <w:t xml:space="preserve">– selle lõikega </w:t>
      </w:r>
      <w:r w:rsidRPr="00C545E1">
        <w:t xml:space="preserve">võetakse üle CRD VI artikli 21c lõige 3. Eelnõu sätte teine lause on ebatäpne, mistõttu on seda võimalik tõlgendada liiga laialt: </w:t>
      </w:r>
      <w:r w:rsidRPr="00C545E1">
        <w:rPr>
          <w:i/>
          <w:iCs/>
        </w:rPr>
        <w:t xml:space="preserve">„Nimetatud toodete ja teenuste pakkumisele kohaldatakse käesoleva seaduse § 21 lõikes 2 sätestatut, välja arvatud juhul, kui toodete või teenuste pakkumine on tihedalt seotud kliendile või vastaspoolele teenuse osutamisega </w:t>
      </w:r>
      <w:r w:rsidRPr="00C545E1">
        <w:rPr>
          <w:i/>
          <w:iCs/>
          <w:u w:val="single"/>
        </w:rPr>
        <w:t>või kui toodet või teenust osutatakse ajaliselt hiljem</w:t>
      </w:r>
      <w:r w:rsidRPr="00C545E1">
        <w:rPr>
          <w:i/>
          <w:iCs/>
        </w:rPr>
        <w:t>.“</w:t>
      </w:r>
      <w:r w:rsidRPr="00C545E1">
        <w:t> CRD VI artikli 21c lõike 3 mõte on laiendada erandit filiaali asutamise kohustusest juhtudele, kus kolmanda riigi ettevõtja soovitab iseseisvalt tema poole pöördunud kliendile/vastaspoolele tooteid, mis on vajalikud või tihedalt seotud esialgselt kliendi poolt taotletud toote või teenuse osutamisega, sealhulgas kui kõnealuseid tooteid/teenuseid osutatakse ajaliselt hiljem (</w:t>
      </w:r>
      <w:proofErr w:type="spellStart"/>
      <w:r w:rsidRPr="00C545E1">
        <w:rPr>
          <w:i/>
          <w:iCs/>
        </w:rPr>
        <w:t>the</w:t>
      </w:r>
      <w:proofErr w:type="spellEnd"/>
      <w:r w:rsidRPr="00C545E1">
        <w:rPr>
          <w:i/>
          <w:iCs/>
        </w:rPr>
        <w:t xml:space="preserve"> </w:t>
      </w:r>
      <w:proofErr w:type="spellStart"/>
      <w:r w:rsidRPr="00C545E1">
        <w:rPr>
          <w:i/>
          <w:iCs/>
        </w:rPr>
        <w:t>establishment</w:t>
      </w:r>
      <w:proofErr w:type="spellEnd"/>
      <w:r w:rsidRPr="00C545E1">
        <w:rPr>
          <w:i/>
          <w:iCs/>
        </w:rPr>
        <w:t xml:space="preserve"> of a </w:t>
      </w:r>
      <w:proofErr w:type="spellStart"/>
      <w:r w:rsidRPr="00C545E1">
        <w:rPr>
          <w:i/>
          <w:iCs/>
        </w:rPr>
        <w:t>third-country</w:t>
      </w:r>
      <w:proofErr w:type="spellEnd"/>
      <w:r w:rsidRPr="00C545E1">
        <w:rPr>
          <w:i/>
          <w:iCs/>
        </w:rPr>
        <w:t xml:space="preserve"> </w:t>
      </w:r>
      <w:proofErr w:type="spellStart"/>
      <w:r w:rsidRPr="00C545E1">
        <w:rPr>
          <w:i/>
          <w:iCs/>
        </w:rPr>
        <w:t>branch</w:t>
      </w:r>
      <w:proofErr w:type="spellEnd"/>
      <w:r w:rsidRPr="00C545E1">
        <w:rPr>
          <w:i/>
          <w:iCs/>
        </w:rPr>
        <w:t xml:space="preserve"> </w:t>
      </w:r>
      <w:proofErr w:type="spellStart"/>
      <w:r w:rsidRPr="00C545E1">
        <w:rPr>
          <w:i/>
          <w:iCs/>
        </w:rPr>
        <w:t>shall</w:t>
      </w:r>
      <w:proofErr w:type="spellEnd"/>
      <w:r w:rsidRPr="00C545E1">
        <w:rPr>
          <w:i/>
          <w:iCs/>
        </w:rPr>
        <w:t xml:space="preserve"> </w:t>
      </w:r>
      <w:proofErr w:type="spellStart"/>
      <w:r w:rsidRPr="00C545E1">
        <w:rPr>
          <w:i/>
          <w:iCs/>
        </w:rPr>
        <w:t>not</w:t>
      </w:r>
      <w:proofErr w:type="spellEnd"/>
      <w:r w:rsidRPr="00C545E1">
        <w:rPr>
          <w:i/>
          <w:iCs/>
        </w:rPr>
        <w:t xml:space="preserve"> </w:t>
      </w:r>
      <w:proofErr w:type="spellStart"/>
      <w:r w:rsidRPr="00C545E1">
        <w:rPr>
          <w:i/>
          <w:iCs/>
        </w:rPr>
        <w:t>be</w:t>
      </w:r>
      <w:proofErr w:type="spellEnd"/>
      <w:r w:rsidRPr="00C545E1">
        <w:rPr>
          <w:i/>
          <w:iCs/>
        </w:rPr>
        <w:t xml:space="preserve"> </w:t>
      </w:r>
      <w:proofErr w:type="spellStart"/>
      <w:r w:rsidRPr="00C545E1">
        <w:rPr>
          <w:i/>
          <w:iCs/>
        </w:rPr>
        <w:t>required</w:t>
      </w:r>
      <w:proofErr w:type="spellEnd"/>
      <w:r w:rsidRPr="00C545E1">
        <w:rPr>
          <w:i/>
          <w:iCs/>
        </w:rPr>
        <w:t> </w:t>
      </w:r>
      <w:proofErr w:type="spellStart"/>
      <w:r w:rsidRPr="00C545E1">
        <w:rPr>
          <w:i/>
          <w:iCs/>
        </w:rPr>
        <w:t>for</w:t>
      </w:r>
      <w:proofErr w:type="spellEnd"/>
      <w:r w:rsidRPr="00C545E1">
        <w:rPr>
          <w:i/>
          <w:iCs/>
        </w:rPr>
        <w:t xml:space="preserve"> </w:t>
      </w:r>
      <w:proofErr w:type="spellStart"/>
      <w:r w:rsidRPr="00C545E1">
        <w:rPr>
          <w:i/>
          <w:iCs/>
        </w:rPr>
        <w:t>any</w:t>
      </w:r>
      <w:proofErr w:type="spellEnd"/>
      <w:r w:rsidRPr="00C545E1">
        <w:rPr>
          <w:i/>
          <w:iCs/>
        </w:rPr>
        <w:t> </w:t>
      </w:r>
      <w:proofErr w:type="spellStart"/>
      <w:r w:rsidRPr="00C545E1">
        <w:rPr>
          <w:i/>
          <w:iCs/>
        </w:rPr>
        <w:t>services</w:t>
      </w:r>
      <w:proofErr w:type="spellEnd"/>
      <w:r w:rsidRPr="00C545E1">
        <w:rPr>
          <w:i/>
          <w:iCs/>
        </w:rPr>
        <w:t xml:space="preserve">, </w:t>
      </w:r>
      <w:proofErr w:type="spellStart"/>
      <w:r w:rsidRPr="00C545E1">
        <w:rPr>
          <w:i/>
          <w:iCs/>
        </w:rPr>
        <w:t>activities</w:t>
      </w:r>
      <w:proofErr w:type="spellEnd"/>
      <w:r w:rsidRPr="00C545E1">
        <w:rPr>
          <w:i/>
          <w:iCs/>
        </w:rPr>
        <w:t xml:space="preserve"> </w:t>
      </w:r>
      <w:proofErr w:type="spellStart"/>
      <w:r w:rsidRPr="00C545E1">
        <w:rPr>
          <w:i/>
          <w:iCs/>
        </w:rPr>
        <w:t>or</w:t>
      </w:r>
      <w:proofErr w:type="spellEnd"/>
      <w:r w:rsidRPr="00C545E1">
        <w:rPr>
          <w:i/>
          <w:iCs/>
        </w:rPr>
        <w:t> </w:t>
      </w:r>
      <w:proofErr w:type="spellStart"/>
      <w:r w:rsidRPr="00C545E1">
        <w:rPr>
          <w:i/>
          <w:iCs/>
        </w:rPr>
        <w:t>products</w:t>
      </w:r>
      <w:proofErr w:type="spellEnd"/>
      <w:r w:rsidRPr="00C545E1">
        <w:rPr>
          <w:i/>
          <w:iCs/>
        </w:rPr>
        <w:t xml:space="preserve"> </w:t>
      </w:r>
      <w:proofErr w:type="spellStart"/>
      <w:r w:rsidRPr="00C545E1">
        <w:rPr>
          <w:i/>
          <w:iCs/>
        </w:rPr>
        <w:t>necessary</w:t>
      </w:r>
      <w:proofErr w:type="spellEnd"/>
      <w:r w:rsidRPr="00C545E1">
        <w:rPr>
          <w:i/>
          <w:iCs/>
        </w:rPr>
        <w:t> </w:t>
      </w:r>
      <w:proofErr w:type="spellStart"/>
      <w:r w:rsidRPr="00C545E1">
        <w:rPr>
          <w:i/>
          <w:iCs/>
        </w:rPr>
        <w:t>for</w:t>
      </w:r>
      <w:proofErr w:type="spellEnd"/>
      <w:r w:rsidRPr="00C545E1">
        <w:rPr>
          <w:i/>
          <w:iCs/>
        </w:rPr>
        <w:t xml:space="preserve">, </w:t>
      </w:r>
      <w:proofErr w:type="spellStart"/>
      <w:r w:rsidRPr="00C545E1">
        <w:rPr>
          <w:i/>
          <w:iCs/>
        </w:rPr>
        <w:t>or</w:t>
      </w:r>
      <w:proofErr w:type="spellEnd"/>
      <w:r w:rsidRPr="00C545E1">
        <w:rPr>
          <w:i/>
          <w:iCs/>
        </w:rPr>
        <w:t xml:space="preserve"> </w:t>
      </w:r>
      <w:proofErr w:type="spellStart"/>
      <w:r w:rsidRPr="00C545E1">
        <w:rPr>
          <w:i/>
          <w:iCs/>
        </w:rPr>
        <w:t>closely</w:t>
      </w:r>
      <w:proofErr w:type="spellEnd"/>
      <w:r w:rsidRPr="00C545E1">
        <w:rPr>
          <w:i/>
          <w:iCs/>
        </w:rPr>
        <w:t> </w:t>
      </w:r>
      <w:proofErr w:type="spellStart"/>
      <w:r w:rsidRPr="00C545E1">
        <w:rPr>
          <w:i/>
          <w:iCs/>
        </w:rPr>
        <w:t>related</w:t>
      </w:r>
      <w:proofErr w:type="spellEnd"/>
      <w:r w:rsidRPr="00C545E1">
        <w:rPr>
          <w:i/>
          <w:iCs/>
        </w:rPr>
        <w:t xml:space="preserve"> </w:t>
      </w:r>
      <w:proofErr w:type="spellStart"/>
      <w:r w:rsidRPr="00C545E1">
        <w:rPr>
          <w:i/>
          <w:iCs/>
        </w:rPr>
        <w:t>to</w:t>
      </w:r>
      <w:proofErr w:type="spellEnd"/>
      <w:r w:rsidRPr="00C545E1">
        <w:rPr>
          <w:i/>
          <w:iCs/>
        </w:rPr>
        <w:t xml:space="preserve"> </w:t>
      </w:r>
      <w:proofErr w:type="spellStart"/>
      <w:r w:rsidRPr="00C545E1">
        <w:rPr>
          <w:i/>
          <w:iCs/>
        </w:rPr>
        <w:t>the</w:t>
      </w:r>
      <w:proofErr w:type="spellEnd"/>
      <w:r w:rsidRPr="00C545E1">
        <w:rPr>
          <w:i/>
          <w:iCs/>
        </w:rPr>
        <w:t xml:space="preserve"> </w:t>
      </w:r>
      <w:proofErr w:type="spellStart"/>
      <w:r w:rsidRPr="00C545E1">
        <w:rPr>
          <w:i/>
          <w:iCs/>
        </w:rPr>
        <w:t>provision</w:t>
      </w:r>
      <w:proofErr w:type="spellEnd"/>
      <w:r w:rsidRPr="00C545E1">
        <w:rPr>
          <w:i/>
          <w:iCs/>
        </w:rPr>
        <w:t xml:space="preserve"> of </w:t>
      </w:r>
      <w:proofErr w:type="spellStart"/>
      <w:r w:rsidRPr="00C545E1">
        <w:rPr>
          <w:i/>
          <w:iCs/>
        </w:rPr>
        <w:t>the</w:t>
      </w:r>
      <w:proofErr w:type="spellEnd"/>
      <w:r w:rsidRPr="00C545E1">
        <w:rPr>
          <w:i/>
          <w:iCs/>
        </w:rPr>
        <w:t> </w:t>
      </w:r>
      <w:proofErr w:type="spellStart"/>
      <w:r w:rsidRPr="00C545E1">
        <w:rPr>
          <w:i/>
          <w:iCs/>
        </w:rPr>
        <w:t>service</w:t>
      </w:r>
      <w:proofErr w:type="spellEnd"/>
      <w:r w:rsidRPr="00C545E1">
        <w:rPr>
          <w:i/>
          <w:iCs/>
        </w:rPr>
        <w:t xml:space="preserve">, </w:t>
      </w:r>
      <w:proofErr w:type="spellStart"/>
      <w:r w:rsidRPr="00C545E1">
        <w:rPr>
          <w:i/>
          <w:iCs/>
        </w:rPr>
        <w:t>product</w:t>
      </w:r>
      <w:proofErr w:type="spellEnd"/>
      <w:r w:rsidRPr="00C545E1">
        <w:rPr>
          <w:i/>
          <w:iCs/>
        </w:rPr>
        <w:t xml:space="preserve"> </w:t>
      </w:r>
      <w:proofErr w:type="spellStart"/>
      <w:r w:rsidRPr="00C545E1">
        <w:rPr>
          <w:i/>
          <w:iCs/>
        </w:rPr>
        <w:t>or</w:t>
      </w:r>
      <w:proofErr w:type="spellEnd"/>
      <w:r w:rsidRPr="00C545E1">
        <w:rPr>
          <w:i/>
          <w:iCs/>
        </w:rPr>
        <w:t xml:space="preserve"> </w:t>
      </w:r>
      <w:proofErr w:type="spellStart"/>
      <w:r w:rsidRPr="00C545E1">
        <w:rPr>
          <w:i/>
          <w:iCs/>
        </w:rPr>
        <w:t>activity</w:t>
      </w:r>
      <w:proofErr w:type="spellEnd"/>
      <w:r w:rsidRPr="00C545E1">
        <w:rPr>
          <w:i/>
          <w:iCs/>
        </w:rPr>
        <w:t xml:space="preserve"> </w:t>
      </w:r>
      <w:proofErr w:type="spellStart"/>
      <w:r w:rsidRPr="00C545E1">
        <w:rPr>
          <w:i/>
          <w:iCs/>
        </w:rPr>
        <w:t>originally</w:t>
      </w:r>
      <w:proofErr w:type="spellEnd"/>
      <w:r w:rsidRPr="00C545E1">
        <w:rPr>
          <w:i/>
          <w:iCs/>
        </w:rPr>
        <w:t xml:space="preserve"> </w:t>
      </w:r>
      <w:proofErr w:type="spellStart"/>
      <w:r w:rsidRPr="00C545E1">
        <w:rPr>
          <w:i/>
          <w:iCs/>
        </w:rPr>
        <w:t>solicited</w:t>
      </w:r>
      <w:proofErr w:type="spellEnd"/>
      <w:r w:rsidRPr="00C545E1">
        <w:rPr>
          <w:i/>
          <w:iCs/>
        </w:rPr>
        <w:t xml:space="preserve"> by </w:t>
      </w:r>
      <w:proofErr w:type="spellStart"/>
      <w:r w:rsidRPr="00C545E1">
        <w:rPr>
          <w:i/>
          <w:iCs/>
        </w:rPr>
        <w:t>the</w:t>
      </w:r>
      <w:proofErr w:type="spellEnd"/>
      <w:r w:rsidRPr="00C545E1">
        <w:rPr>
          <w:i/>
          <w:iCs/>
        </w:rPr>
        <w:t xml:space="preserve"> </w:t>
      </w:r>
      <w:proofErr w:type="spellStart"/>
      <w:r w:rsidRPr="00C545E1">
        <w:rPr>
          <w:i/>
          <w:iCs/>
        </w:rPr>
        <w:t>client</w:t>
      </w:r>
      <w:proofErr w:type="spellEnd"/>
      <w:r w:rsidRPr="00C545E1">
        <w:rPr>
          <w:i/>
          <w:iCs/>
        </w:rPr>
        <w:t xml:space="preserve"> </w:t>
      </w:r>
      <w:proofErr w:type="spellStart"/>
      <w:r w:rsidRPr="00C545E1">
        <w:rPr>
          <w:i/>
          <w:iCs/>
        </w:rPr>
        <w:t>or</w:t>
      </w:r>
      <w:proofErr w:type="spellEnd"/>
      <w:r w:rsidRPr="00C545E1">
        <w:rPr>
          <w:i/>
          <w:iCs/>
        </w:rPr>
        <w:t xml:space="preserve"> </w:t>
      </w:r>
      <w:proofErr w:type="spellStart"/>
      <w:r w:rsidRPr="00C545E1">
        <w:rPr>
          <w:i/>
          <w:iCs/>
        </w:rPr>
        <w:t>counterparty</w:t>
      </w:r>
      <w:proofErr w:type="spellEnd"/>
      <w:r w:rsidRPr="00C545E1">
        <w:rPr>
          <w:i/>
          <w:iCs/>
        </w:rPr>
        <w:t xml:space="preserve">, </w:t>
      </w:r>
      <w:proofErr w:type="spellStart"/>
      <w:r w:rsidRPr="00C545E1">
        <w:rPr>
          <w:i/>
          <w:iCs/>
          <w:u w:val="single"/>
        </w:rPr>
        <w:t>including</w:t>
      </w:r>
      <w:proofErr w:type="spellEnd"/>
      <w:r w:rsidRPr="00C545E1">
        <w:rPr>
          <w:i/>
          <w:iCs/>
          <w:u w:val="single"/>
        </w:rPr>
        <w:t xml:space="preserve"> </w:t>
      </w:r>
      <w:proofErr w:type="spellStart"/>
      <w:r w:rsidRPr="00C545E1">
        <w:rPr>
          <w:i/>
          <w:iCs/>
          <w:u w:val="single"/>
        </w:rPr>
        <w:t>where</w:t>
      </w:r>
      <w:proofErr w:type="spellEnd"/>
      <w:r w:rsidRPr="00C545E1">
        <w:rPr>
          <w:i/>
          <w:iCs/>
          <w:u w:val="single"/>
        </w:rPr>
        <w:t xml:space="preserve"> </w:t>
      </w:r>
      <w:proofErr w:type="spellStart"/>
      <w:r w:rsidRPr="00C545E1">
        <w:rPr>
          <w:i/>
          <w:iCs/>
          <w:u w:val="single"/>
        </w:rPr>
        <w:t>such</w:t>
      </w:r>
      <w:proofErr w:type="spellEnd"/>
      <w:r w:rsidRPr="00C545E1">
        <w:rPr>
          <w:i/>
          <w:iCs/>
        </w:rPr>
        <w:t> </w:t>
      </w:r>
      <w:proofErr w:type="spellStart"/>
      <w:r w:rsidRPr="00C545E1">
        <w:rPr>
          <w:i/>
          <w:iCs/>
        </w:rPr>
        <w:t>closely</w:t>
      </w:r>
      <w:proofErr w:type="spellEnd"/>
      <w:r w:rsidRPr="00C545E1">
        <w:rPr>
          <w:i/>
          <w:iCs/>
        </w:rPr>
        <w:t> </w:t>
      </w:r>
      <w:proofErr w:type="spellStart"/>
      <w:r w:rsidRPr="00C545E1">
        <w:rPr>
          <w:i/>
          <w:iCs/>
        </w:rPr>
        <w:t>related</w:t>
      </w:r>
      <w:proofErr w:type="spellEnd"/>
      <w:r w:rsidRPr="00C545E1">
        <w:rPr>
          <w:i/>
          <w:iCs/>
        </w:rPr>
        <w:t xml:space="preserve"> </w:t>
      </w:r>
      <w:proofErr w:type="spellStart"/>
      <w:r w:rsidRPr="00C545E1">
        <w:rPr>
          <w:i/>
          <w:iCs/>
        </w:rPr>
        <w:t>services</w:t>
      </w:r>
      <w:proofErr w:type="spellEnd"/>
      <w:r w:rsidRPr="00C545E1">
        <w:rPr>
          <w:i/>
          <w:iCs/>
        </w:rPr>
        <w:t xml:space="preserve">, </w:t>
      </w:r>
      <w:proofErr w:type="spellStart"/>
      <w:r w:rsidRPr="00C545E1">
        <w:rPr>
          <w:i/>
          <w:iCs/>
        </w:rPr>
        <w:t>activities</w:t>
      </w:r>
      <w:proofErr w:type="spellEnd"/>
      <w:r w:rsidRPr="00C545E1">
        <w:rPr>
          <w:i/>
          <w:iCs/>
        </w:rPr>
        <w:t xml:space="preserve"> </w:t>
      </w:r>
      <w:proofErr w:type="spellStart"/>
      <w:r w:rsidRPr="00C545E1">
        <w:rPr>
          <w:i/>
          <w:iCs/>
        </w:rPr>
        <w:t>or</w:t>
      </w:r>
      <w:proofErr w:type="spellEnd"/>
      <w:r w:rsidRPr="00C545E1">
        <w:rPr>
          <w:i/>
          <w:iCs/>
        </w:rPr>
        <w:t> </w:t>
      </w:r>
      <w:proofErr w:type="spellStart"/>
      <w:r w:rsidRPr="00C545E1">
        <w:rPr>
          <w:i/>
          <w:iCs/>
        </w:rPr>
        <w:t>products</w:t>
      </w:r>
      <w:proofErr w:type="spellEnd"/>
      <w:r w:rsidRPr="00C545E1">
        <w:rPr>
          <w:i/>
          <w:iCs/>
        </w:rPr>
        <w:t xml:space="preserve"> </w:t>
      </w:r>
      <w:r w:rsidRPr="00C545E1">
        <w:rPr>
          <w:i/>
          <w:iCs/>
          <w:u w:val="single"/>
        </w:rPr>
        <w:t xml:space="preserve">are </w:t>
      </w:r>
      <w:proofErr w:type="spellStart"/>
      <w:r w:rsidRPr="00C545E1">
        <w:rPr>
          <w:i/>
          <w:iCs/>
          <w:u w:val="single"/>
        </w:rPr>
        <w:t>provided</w:t>
      </w:r>
      <w:proofErr w:type="spellEnd"/>
      <w:r w:rsidRPr="00C545E1">
        <w:rPr>
          <w:i/>
          <w:iCs/>
          <w:u w:val="single"/>
        </w:rPr>
        <w:t xml:space="preserve"> </w:t>
      </w:r>
      <w:proofErr w:type="spellStart"/>
      <w:r w:rsidRPr="00C545E1">
        <w:rPr>
          <w:i/>
          <w:iCs/>
          <w:u w:val="single"/>
        </w:rPr>
        <w:t>subsequently</w:t>
      </w:r>
      <w:proofErr w:type="spellEnd"/>
      <w:r w:rsidRPr="00C545E1">
        <w:rPr>
          <w:i/>
          <w:iCs/>
          <w:u w:val="single"/>
        </w:rPr>
        <w:t> </w:t>
      </w:r>
      <w:proofErr w:type="spellStart"/>
      <w:r w:rsidRPr="00C545E1">
        <w:rPr>
          <w:i/>
          <w:iCs/>
          <w:u w:val="single"/>
        </w:rPr>
        <w:t>to</w:t>
      </w:r>
      <w:proofErr w:type="spellEnd"/>
      <w:r w:rsidRPr="00C545E1">
        <w:rPr>
          <w:i/>
          <w:iCs/>
          <w:u w:val="single"/>
        </w:rPr>
        <w:t xml:space="preserve"> </w:t>
      </w:r>
      <w:proofErr w:type="spellStart"/>
      <w:r w:rsidRPr="00C545E1">
        <w:rPr>
          <w:i/>
          <w:iCs/>
          <w:u w:val="single"/>
        </w:rPr>
        <w:t>those</w:t>
      </w:r>
      <w:proofErr w:type="spellEnd"/>
      <w:r w:rsidRPr="00C545E1">
        <w:rPr>
          <w:i/>
          <w:iCs/>
          <w:u w:val="single"/>
        </w:rPr>
        <w:t xml:space="preserve"> </w:t>
      </w:r>
      <w:proofErr w:type="spellStart"/>
      <w:r w:rsidRPr="00C545E1">
        <w:rPr>
          <w:i/>
          <w:iCs/>
          <w:u w:val="single"/>
        </w:rPr>
        <w:t>originally</w:t>
      </w:r>
      <w:proofErr w:type="spellEnd"/>
      <w:r w:rsidRPr="00C545E1">
        <w:rPr>
          <w:i/>
          <w:iCs/>
          <w:u w:val="single"/>
        </w:rPr>
        <w:t xml:space="preserve"> </w:t>
      </w:r>
      <w:proofErr w:type="spellStart"/>
      <w:r w:rsidRPr="00C545E1">
        <w:rPr>
          <w:i/>
          <w:iCs/>
          <w:u w:val="single"/>
        </w:rPr>
        <w:t>solicited</w:t>
      </w:r>
      <w:proofErr w:type="spellEnd"/>
      <w:r w:rsidRPr="00C545E1">
        <w:t>). Eelnõu sõnastus jätab aga ekslikult mulje, et kolmanda riigi ettevõtja võib tema poole iseseisvalt pöördunud kliendile pakkuda ka esialgselt taotletud toote/teenusega mitteseotud tooteid/teenuseid, kui ettevõtja osutab selliseid tooteid/teenuseid ajaliselt hiljem (</w:t>
      </w:r>
      <w:r w:rsidRPr="00C545E1">
        <w:rPr>
          <w:i/>
          <w:iCs/>
        </w:rPr>
        <w:t>„või kui toodet või teenust osutatakse ajaliselt hiljem“</w:t>
      </w:r>
      <w:r w:rsidRPr="00C545E1">
        <w:t xml:space="preserve">). </w:t>
      </w:r>
    </w:p>
    <w:p w14:paraId="07290063" w14:textId="77777777" w:rsidR="00C545E1" w:rsidRDefault="00C545E1" w:rsidP="00C545E1">
      <w:pPr>
        <w:ind w:left="720"/>
      </w:pPr>
    </w:p>
    <w:p w14:paraId="04900F3C" w14:textId="3F7F56B3" w:rsidR="00C545E1" w:rsidRPr="00C545E1" w:rsidRDefault="00C545E1" w:rsidP="00C545E1">
      <w:pPr>
        <w:rPr>
          <w:i/>
          <w:iCs/>
        </w:rPr>
      </w:pPr>
      <w:r w:rsidRPr="00C545E1">
        <w:rPr>
          <w:b/>
          <w:bCs/>
        </w:rPr>
        <w:t>Ettepanek</w:t>
      </w:r>
      <w:r>
        <w:t xml:space="preserve">: </w:t>
      </w:r>
      <w:r w:rsidRPr="00A32743">
        <w:t>Direktiivi sõnastuse ja mõttega oleks enam kooskõlas sõnastus:</w:t>
      </w:r>
      <w:r w:rsidRPr="00C545E1">
        <w:rPr>
          <w:i/>
          <w:iCs/>
        </w:rPr>
        <w:t xml:space="preserve"> „Nimetatud toodete ja teenuste pakkumisele kohaldatakse käesoleva seaduse § 21 lõikes 2 sätestatut, välja arvatud juhul, kui selliste toodete või teenuste pakkumine on vajalik või tihedalt seotud kliendi või vastaspoole poolt algselt soovitud teenuse osutamisega, </w:t>
      </w:r>
      <w:r w:rsidRPr="00A32743">
        <w:rPr>
          <w:b/>
          <w:bCs/>
          <w:i/>
          <w:iCs/>
          <w:u w:val="single"/>
        </w:rPr>
        <w:t>sealhulgas juhul kui toodet või teenust osutatakse ajaliselt hiljem</w:t>
      </w:r>
      <w:r w:rsidRPr="00C545E1">
        <w:rPr>
          <w:i/>
          <w:iCs/>
        </w:rPr>
        <w:t>.“</w:t>
      </w:r>
    </w:p>
    <w:p w14:paraId="09CAEF00" w14:textId="77777777" w:rsidR="00C545E1" w:rsidRPr="0050030C" w:rsidRDefault="00C545E1" w:rsidP="00C77DB7"/>
    <w:p w14:paraId="18C80BC9" w14:textId="77777777" w:rsidR="00EE52EF" w:rsidRDefault="00EE52EF" w:rsidP="00C77DB7"/>
    <w:p w14:paraId="10AAD9A8" w14:textId="1A20F5A6" w:rsidR="000A5254" w:rsidRDefault="00DF7A76" w:rsidP="00C77DB7">
      <w:pPr>
        <w:pStyle w:val="ListParagraph"/>
      </w:pPr>
      <w:r>
        <w:lastRenderedPageBreak/>
        <w:t xml:space="preserve">KAS § </w:t>
      </w:r>
      <w:r w:rsidR="00FF318F">
        <w:t>48</w:t>
      </w:r>
      <w:r w:rsidR="00FF318F" w:rsidRPr="00C77DB7">
        <w:rPr>
          <w:vertAlign w:val="superscript"/>
        </w:rPr>
        <w:t>1</w:t>
      </w:r>
      <w:r w:rsidR="00FF318F">
        <w:t xml:space="preserve"> </w:t>
      </w:r>
      <w:r w:rsidR="004B6AA6">
        <w:t>–</w:t>
      </w:r>
      <w:r w:rsidR="00FF318F">
        <w:t xml:space="preserve"> </w:t>
      </w:r>
      <w:r w:rsidR="00AA51CF">
        <w:t>juhtidest ja võtmeisikutest teavitamine</w:t>
      </w:r>
      <w:r w:rsidR="00891D22">
        <w:t xml:space="preserve"> </w:t>
      </w:r>
      <w:r w:rsidR="00CF0F95">
        <w:t>–</w:t>
      </w:r>
      <w:r w:rsidR="00891D22">
        <w:t xml:space="preserve"> </w:t>
      </w:r>
      <w:r w:rsidR="00CF0F95">
        <w:t xml:space="preserve">uutest KAS § </w:t>
      </w:r>
      <w:r w:rsidR="00CF0F95" w:rsidRPr="00CF0F95">
        <w:t>48</w:t>
      </w:r>
      <w:r w:rsidR="00CF0F95" w:rsidRPr="00C77DB7">
        <w:rPr>
          <w:vertAlign w:val="superscript"/>
        </w:rPr>
        <w:t>1</w:t>
      </w:r>
      <w:r w:rsidR="00CF0F95">
        <w:t xml:space="preserve"> lõigetest 1 ja 2</w:t>
      </w:r>
      <w:r w:rsidR="00EE621B">
        <w:t xml:space="preserve"> tuleneb,</w:t>
      </w:r>
      <w:r w:rsidR="00CF0F95">
        <w:t xml:space="preserve"> </w:t>
      </w:r>
      <w:r w:rsidR="00526448" w:rsidRPr="00CF0F95">
        <w:t>et</w:t>
      </w:r>
      <w:r w:rsidR="00526448" w:rsidRPr="00526448">
        <w:t xml:space="preserve"> olulistele krediidiasutustele (peaks olema ka OS-II krediidiasutused) sätestatakse nõue teavitada Finantsinspektsiooni juhi ametisse nimetamisest vähemalt 30 tööpäeva enne, muudel puhkudel on vastav tähtaeg 10 päeva. 30-päevane teavitustähtaeg pikendab oluliselt sobivusmenetluse läbiviimise protsessi ja juhtide jm sättes nimetatud  isikute ametisse nimetamist. Samuti on arusaamatu, miks ühel puhul sätestab regulatsioon tähtaja kalendripäevades ja teisel puhul tööpäevades.</w:t>
      </w:r>
    </w:p>
    <w:p w14:paraId="432E3EAE" w14:textId="77777777" w:rsidR="000A6880" w:rsidRDefault="000A6880" w:rsidP="00C77DB7"/>
    <w:p w14:paraId="705E3BB2" w14:textId="543575CB" w:rsidR="000A6880" w:rsidRDefault="000A6880" w:rsidP="00C77DB7">
      <w:r>
        <w:rPr>
          <w:b/>
          <w:bCs/>
        </w:rPr>
        <w:t xml:space="preserve">Ettepanek: </w:t>
      </w:r>
      <w:r>
        <w:t>palu</w:t>
      </w:r>
      <w:r w:rsidR="00BB444F">
        <w:t>me</w:t>
      </w:r>
      <w:r>
        <w:t xml:space="preserve"> selgitada ja kaaluda regulatsioonide ühtlustamist.</w:t>
      </w:r>
    </w:p>
    <w:p w14:paraId="1BA553A3" w14:textId="77777777" w:rsidR="000A6880" w:rsidRDefault="000A6880" w:rsidP="00C77DB7"/>
    <w:p w14:paraId="2F4D2B5D" w14:textId="4C94C914" w:rsidR="000A6880" w:rsidRDefault="0046413B" w:rsidP="00C77DB7">
      <w:pPr>
        <w:pStyle w:val="ListParagraph"/>
      </w:pPr>
      <w:r>
        <w:t>KAS § 49 lg 1</w:t>
      </w:r>
      <w:r w:rsidRPr="00C77DB7">
        <w:rPr>
          <w:vertAlign w:val="superscript"/>
        </w:rPr>
        <w:t>5</w:t>
      </w:r>
      <w:r>
        <w:t xml:space="preserve"> </w:t>
      </w:r>
      <w:r w:rsidR="00B76CD5">
        <w:t xml:space="preserve">– </w:t>
      </w:r>
      <w:r w:rsidR="00A65DE1">
        <w:t xml:space="preserve">nimetatud säte sisaldub ainult </w:t>
      </w:r>
      <w:r w:rsidR="00BB444F" w:rsidRPr="00BB444F">
        <w:t>seletuskirjas, eelnõus endas sellist sätet ei ole</w:t>
      </w:r>
      <w:r w:rsidR="00BB444F">
        <w:t>.</w:t>
      </w:r>
    </w:p>
    <w:p w14:paraId="40F9AD30" w14:textId="77777777" w:rsidR="00BB444F" w:rsidRDefault="00BB444F" w:rsidP="00C77DB7"/>
    <w:p w14:paraId="2ACD6DE7" w14:textId="77777777" w:rsidR="00BB444F" w:rsidRDefault="00BB444F" w:rsidP="00C77DB7">
      <w:r>
        <w:rPr>
          <w:b/>
          <w:bCs/>
        </w:rPr>
        <w:t>Ettepanek</w:t>
      </w:r>
      <w:r w:rsidRPr="00E97C0C">
        <w:rPr>
          <w:b/>
          <w:bCs/>
        </w:rPr>
        <w:t>:</w:t>
      </w:r>
      <w:r>
        <w:t xml:space="preserve"> palume täpsustada, mida siin on mõeldud.</w:t>
      </w:r>
    </w:p>
    <w:p w14:paraId="1A6C06FA" w14:textId="77777777" w:rsidR="00BB444F" w:rsidRDefault="00BB444F" w:rsidP="00C77DB7"/>
    <w:p w14:paraId="68F9FFB3" w14:textId="47563870" w:rsidR="00BB444F" w:rsidRDefault="00383623" w:rsidP="00C77DB7">
      <w:pPr>
        <w:pStyle w:val="ListParagraph"/>
      </w:pPr>
      <w:r>
        <w:t>KAS § 50 lg 1</w:t>
      </w:r>
      <w:r w:rsidRPr="00C77DB7">
        <w:rPr>
          <w:vertAlign w:val="superscript"/>
        </w:rPr>
        <w:t>1</w:t>
      </w:r>
      <w:r>
        <w:t xml:space="preserve"> </w:t>
      </w:r>
      <w:r w:rsidR="00B76CD5">
        <w:t>–</w:t>
      </w:r>
      <w:r>
        <w:t xml:space="preserve"> </w:t>
      </w:r>
      <w:r w:rsidR="00B76CD5">
        <w:t>Seletuskirjas on viidatud valele sättele</w:t>
      </w:r>
      <w:r w:rsidR="00D93D6F">
        <w:t>, KAS § 13</w:t>
      </w:r>
      <w:r w:rsidR="00D93D6F" w:rsidRPr="00C77DB7">
        <w:rPr>
          <w:vertAlign w:val="superscript"/>
        </w:rPr>
        <w:t>4</w:t>
      </w:r>
      <w:r w:rsidR="00B76CD5">
        <w:t>.</w:t>
      </w:r>
    </w:p>
    <w:p w14:paraId="744C4B41" w14:textId="77777777" w:rsidR="00B76CD5" w:rsidRDefault="00B76CD5" w:rsidP="00C77DB7"/>
    <w:p w14:paraId="0B3A2F57" w14:textId="1C42387E" w:rsidR="00B76CD5" w:rsidRDefault="00B76CD5" w:rsidP="00C77DB7">
      <w:r>
        <w:rPr>
          <w:b/>
          <w:bCs/>
        </w:rPr>
        <w:t>Ettepanek</w:t>
      </w:r>
      <w:r w:rsidRPr="00E97C0C">
        <w:rPr>
          <w:b/>
          <w:bCs/>
        </w:rPr>
        <w:t>:</w:t>
      </w:r>
      <w:r>
        <w:t xml:space="preserve"> </w:t>
      </w:r>
      <w:r w:rsidR="00FB37A9">
        <w:t>palume täpsustada, kas korrektsem viide oleks hoopis KAS § 13</w:t>
      </w:r>
      <w:r w:rsidR="00FB37A9">
        <w:rPr>
          <w:vertAlign w:val="superscript"/>
        </w:rPr>
        <w:t>6</w:t>
      </w:r>
      <w:r w:rsidR="00FB37A9">
        <w:t>, mis sätestab heakskiitmise otsuse.</w:t>
      </w:r>
    </w:p>
    <w:p w14:paraId="05563023" w14:textId="77777777" w:rsidR="00FB37A9" w:rsidRDefault="00FB37A9" w:rsidP="00C77DB7"/>
    <w:p w14:paraId="3A817BEA" w14:textId="14B2AC23" w:rsidR="00FB37A9" w:rsidRDefault="00BC7491" w:rsidP="00C77DB7">
      <w:pPr>
        <w:pStyle w:val="ListParagraph"/>
      </w:pPr>
      <w:r>
        <w:t>KAS § 52 lg 4 p 10</w:t>
      </w:r>
      <w:r w:rsidR="00A05734">
        <w:t xml:space="preserve"> - </w:t>
      </w:r>
      <w:r w:rsidR="00A05734" w:rsidRPr="00A05734">
        <w:t>Muudetud sätte kohaselt kuulub nõukogu pädevusse erinevate komiteede pädevuse, õiguste ja tegevuste põhimõtete kinnitamine. Sättest jääb ebaselgeks, kas silmas on peetud vaid seadusega ettenähtud komiteesid või kõiki krediidiasutuses moodustatavaid komiteesid.</w:t>
      </w:r>
    </w:p>
    <w:p w14:paraId="7579AB14" w14:textId="77777777" w:rsidR="00E97C0C" w:rsidRDefault="00E97C0C" w:rsidP="00C77DB7"/>
    <w:p w14:paraId="4A94DDE2" w14:textId="50E55AAF" w:rsidR="00E97C0C" w:rsidRDefault="00E97C0C" w:rsidP="00C77DB7">
      <w:r>
        <w:rPr>
          <w:b/>
          <w:bCs/>
        </w:rPr>
        <w:t>Ettepanek:</w:t>
      </w:r>
      <w:r>
        <w:t xml:space="preserve"> täpsustada sätte sõnastuses</w:t>
      </w:r>
      <w:r w:rsidR="00953C21">
        <w:t xml:space="preserve"> konkreetselt, kas see kehtib ainult seadusega ettenähtud komiteedele või kõikidele moodustatavatele komiteedele.</w:t>
      </w:r>
    </w:p>
    <w:p w14:paraId="4CB5A113" w14:textId="77777777" w:rsidR="007A7D68" w:rsidRDefault="007A7D68" w:rsidP="00C77DB7"/>
    <w:p w14:paraId="357980EE" w14:textId="2A259B61" w:rsidR="007A7D68" w:rsidRDefault="00831387" w:rsidP="00C77DB7">
      <w:pPr>
        <w:pStyle w:val="ListParagraph"/>
      </w:pPr>
      <w:r>
        <w:t xml:space="preserve">KAS § 60 lg 1 - </w:t>
      </w:r>
      <w:r w:rsidR="003D3508" w:rsidRPr="003D3508">
        <w:t>Eelnõu seletuskirjas on märgitud, et säilib nõue, kus siseauditi funktsiooni juhtivale isikule kohaldatakse audiitortegevuse seaduses atesteeritud siseaudiitorile sätestatud nõudeid ja tegevuse õiguslikke aluseid. Sellist nõuet eelnõus endas aga ei ole.</w:t>
      </w:r>
    </w:p>
    <w:p w14:paraId="3CEF15FC" w14:textId="77777777" w:rsidR="00C77DB7" w:rsidRDefault="00C77DB7" w:rsidP="00C77DB7">
      <w:pPr>
        <w:rPr>
          <w:b/>
          <w:bCs/>
        </w:rPr>
      </w:pPr>
    </w:p>
    <w:p w14:paraId="036B694C" w14:textId="7DA4F8F0" w:rsidR="003D3508" w:rsidRDefault="003D3508" w:rsidP="00C77DB7">
      <w:r>
        <w:rPr>
          <w:b/>
          <w:bCs/>
        </w:rPr>
        <w:t>Ettepanek:</w:t>
      </w:r>
      <w:r>
        <w:t xml:space="preserve"> palume lisada vastav regulatsioon ka eelnõusse.</w:t>
      </w:r>
    </w:p>
    <w:p w14:paraId="34A05873" w14:textId="77777777" w:rsidR="003D3508" w:rsidRDefault="003D3508" w:rsidP="00C77DB7"/>
    <w:p w14:paraId="462182AD" w14:textId="7CA2F46D" w:rsidR="003D3508" w:rsidRDefault="00C71E4A" w:rsidP="00C77DB7">
      <w:pPr>
        <w:pStyle w:val="ListParagraph"/>
      </w:pPr>
      <w:r>
        <w:t>KAS § 60 lg 3</w:t>
      </w:r>
      <w:r w:rsidRPr="00C77DB7">
        <w:rPr>
          <w:vertAlign w:val="superscript"/>
        </w:rPr>
        <w:t>1</w:t>
      </w:r>
      <w:r>
        <w:t xml:space="preserve"> </w:t>
      </w:r>
      <w:r w:rsidR="00105582">
        <w:t>–</w:t>
      </w:r>
      <w:r>
        <w:t xml:space="preserve"> </w:t>
      </w:r>
      <w:r w:rsidR="00D87C7E">
        <w:t xml:space="preserve">uus regulatsioon sätestab, et sisekontrolli funktsiooni täitvad isikud peavad olema oma ülesannete täitmisel sõltumatud krediidiasutuse </w:t>
      </w:r>
      <w:r w:rsidR="00366AF4">
        <w:t xml:space="preserve">põhiäritegevuse funktsioonidest ja krediidiasutuse juhatuse liikmetest. </w:t>
      </w:r>
      <w:r w:rsidR="00132CC4">
        <w:t>Uu</w:t>
      </w:r>
      <w:r w:rsidR="00E27D1B">
        <w:t>e</w:t>
      </w:r>
      <w:r w:rsidR="00132CC4">
        <w:t xml:space="preserve"> EBA </w:t>
      </w:r>
      <w:proofErr w:type="spellStart"/>
      <w:r w:rsidR="00E27D1B">
        <w:t>draft</w:t>
      </w:r>
      <w:proofErr w:type="spellEnd"/>
      <w:r w:rsidR="00E27D1B">
        <w:t xml:space="preserve"> </w:t>
      </w:r>
      <w:proofErr w:type="spellStart"/>
      <w:r w:rsidR="00E27D1B">
        <w:t>revised</w:t>
      </w:r>
      <w:proofErr w:type="spellEnd"/>
      <w:r w:rsidR="00E27D1B">
        <w:t xml:space="preserve"> </w:t>
      </w:r>
      <w:proofErr w:type="spellStart"/>
      <w:r w:rsidR="00E27D1B">
        <w:t>Guidelines</w:t>
      </w:r>
      <w:proofErr w:type="spellEnd"/>
      <w:r w:rsidR="00E27D1B">
        <w:t xml:space="preserve"> on </w:t>
      </w:r>
      <w:proofErr w:type="spellStart"/>
      <w:r w:rsidR="00E27D1B">
        <w:t>internal</w:t>
      </w:r>
      <w:proofErr w:type="spellEnd"/>
      <w:r w:rsidR="00E27D1B">
        <w:t xml:space="preserve"> </w:t>
      </w:r>
      <w:proofErr w:type="spellStart"/>
      <w:r w:rsidR="00E27D1B">
        <w:t>governance</w:t>
      </w:r>
      <w:proofErr w:type="spellEnd"/>
      <w:r w:rsidR="00E27D1B">
        <w:t xml:space="preserve"> kohaselt on lubatud neid ülesandeid täita ka juhatuse liikmel</w:t>
      </w:r>
      <w:r w:rsidR="00126050">
        <w:t xml:space="preserve"> (vt p 29a, p 172 ja 176)</w:t>
      </w:r>
      <w:r w:rsidR="00126050">
        <w:rPr>
          <w:rStyle w:val="FootnoteReference"/>
        </w:rPr>
        <w:footnoteReference w:id="1"/>
      </w:r>
      <w:r w:rsidR="00E27D1B">
        <w:t>.</w:t>
      </w:r>
    </w:p>
    <w:p w14:paraId="5B11363F" w14:textId="77777777" w:rsidR="00E27D1B" w:rsidRDefault="00E27D1B" w:rsidP="00C77DB7"/>
    <w:p w14:paraId="5ABF653B" w14:textId="02782041" w:rsidR="00E27D1B" w:rsidRPr="00E27D1B" w:rsidRDefault="00E27D1B" w:rsidP="0035278F">
      <w:r>
        <w:rPr>
          <w:b/>
          <w:bCs/>
        </w:rPr>
        <w:t xml:space="preserve">Ettepanek: </w:t>
      </w:r>
      <w:r w:rsidR="0035278F" w:rsidRPr="0035278F">
        <w:t xml:space="preserve">palume </w:t>
      </w:r>
      <w:r w:rsidR="0035278F">
        <w:t xml:space="preserve">KAS § 60 </w:t>
      </w:r>
      <w:proofErr w:type="spellStart"/>
      <w:r w:rsidR="0035278F">
        <w:t>lg-s</w:t>
      </w:r>
      <w:proofErr w:type="spellEnd"/>
      <w:r w:rsidR="0035278F">
        <w:t xml:space="preserve"> 3</w:t>
      </w:r>
      <w:r w:rsidR="0035278F" w:rsidRPr="00C77DB7">
        <w:rPr>
          <w:vertAlign w:val="superscript"/>
        </w:rPr>
        <w:t>1</w:t>
      </w:r>
      <w:r w:rsidR="0035278F" w:rsidRPr="0035278F">
        <w:t xml:space="preserve"> täpsustada, et juhatuse liige võib täita sisekontrolli funktsiooni juhi ülesandeid uues EBA </w:t>
      </w:r>
      <w:proofErr w:type="spellStart"/>
      <w:r w:rsidR="0035278F" w:rsidRPr="0035278F">
        <w:t>draft</w:t>
      </w:r>
      <w:proofErr w:type="spellEnd"/>
      <w:r w:rsidR="0035278F" w:rsidRPr="0035278F">
        <w:t xml:space="preserve"> </w:t>
      </w:r>
      <w:proofErr w:type="spellStart"/>
      <w:r w:rsidR="0035278F" w:rsidRPr="0035278F">
        <w:t>revised</w:t>
      </w:r>
      <w:proofErr w:type="spellEnd"/>
      <w:r w:rsidR="0035278F" w:rsidRPr="0035278F">
        <w:t xml:space="preserve"> </w:t>
      </w:r>
      <w:proofErr w:type="spellStart"/>
      <w:r w:rsidR="0035278F" w:rsidRPr="0035278F">
        <w:t>Guidelines</w:t>
      </w:r>
      <w:proofErr w:type="spellEnd"/>
      <w:r w:rsidR="0035278F" w:rsidRPr="0035278F">
        <w:t xml:space="preserve"> on </w:t>
      </w:r>
      <w:proofErr w:type="spellStart"/>
      <w:r w:rsidR="0035278F" w:rsidRPr="0035278F">
        <w:t>internal</w:t>
      </w:r>
      <w:proofErr w:type="spellEnd"/>
      <w:r w:rsidR="0035278F" w:rsidRPr="0035278F">
        <w:t xml:space="preserve"> </w:t>
      </w:r>
      <w:proofErr w:type="spellStart"/>
      <w:r w:rsidR="0035278F" w:rsidRPr="0035278F">
        <w:t>governance</w:t>
      </w:r>
      <w:proofErr w:type="spellEnd"/>
      <w:r w:rsidR="0035278F" w:rsidRPr="0035278F">
        <w:t xml:space="preserve"> sätestatuga sarnastel tingimustel (piisavad kaitsemeetmed ja mehhanismid huvide konflikti vältimiseks, asjakohased tulemusnäitajad ning juhi tegevuse hindamise ja tasustamise põhimõtted).</w:t>
      </w:r>
    </w:p>
    <w:p w14:paraId="24D5EA25" w14:textId="3D54602A" w:rsidR="00BB444F" w:rsidRDefault="00BB444F" w:rsidP="00C77DB7">
      <w:r>
        <w:t xml:space="preserve"> </w:t>
      </w:r>
    </w:p>
    <w:p w14:paraId="0998F8FA" w14:textId="05702676" w:rsidR="003047AF" w:rsidRDefault="00B8036A" w:rsidP="00C77DB7">
      <w:pPr>
        <w:pStyle w:val="ListParagraph"/>
      </w:pPr>
      <w:r>
        <w:t>KAS § 61 lg 3</w:t>
      </w:r>
      <w:r w:rsidRPr="00C77DB7">
        <w:rPr>
          <w:vertAlign w:val="superscript"/>
        </w:rPr>
        <w:t>1</w:t>
      </w:r>
      <w:r>
        <w:t xml:space="preserve"> </w:t>
      </w:r>
      <w:r w:rsidR="0055778C">
        <w:t>–</w:t>
      </w:r>
      <w:r>
        <w:t xml:space="preserve"> </w:t>
      </w:r>
      <w:r w:rsidR="0055778C">
        <w:t>see säte ja eelnõuga lisatav KAS § 60 lg 3 esimene lause on oma sisult identsed.</w:t>
      </w:r>
    </w:p>
    <w:p w14:paraId="651E8DDD" w14:textId="77777777" w:rsidR="0055778C" w:rsidRDefault="0055778C" w:rsidP="00C77DB7"/>
    <w:p w14:paraId="562E5A41" w14:textId="7DA90617" w:rsidR="0055778C" w:rsidRPr="0055778C" w:rsidRDefault="0055778C" w:rsidP="00C77DB7">
      <w:r>
        <w:rPr>
          <w:b/>
          <w:bCs/>
        </w:rPr>
        <w:t xml:space="preserve">Ettepanek: </w:t>
      </w:r>
      <w:r>
        <w:t>palume teha eelnõus vastavad korrektuurid.</w:t>
      </w:r>
    </w:p>
    <w:p w14:paraId="706F5BE1" w14:textId="77777777" w:rsidR="003047AF" w:rsidRDefault="003047AF" w:rsidP="00C77DB7"/>
    <w:p w14:paraId="6AA44B61" w14:textId="24A19693" w:rsidR="00623AF6" w:rsidRDefault="00623AF6" w:rsidP="00C77DB7">
      <w:pPr>
        <w:pStyle w:val="ListParagraph"/>
      </w:pPr>
      <w:r>
        <w:t xml:space="preserve">KAS § 61 lg 4 </w:t>
      </w:r>
      <w:r w:rsidR="006B34A6">
        <w:t>–</w:t>
      </w:r>
      <w:r>
        <w:t xml:space="preserve"> </w:t>
      </w:r>
      <w:r w:rsidR="006B34A6">
        <w:t>eelnõus m</w:t>
      </w:r>
      <w:r w:rsidR="006B34A6" w:rsidRPr="006B34A6">
        <w:t>uudetud lõige sätestab, et sisekontrolli funktsioone täitvad isikud töötavad koostöös Finantsinspektsiooniga. Sätte sisu, eesmärk ja koostöö ulatus jäävad ebaselgeks. Krediidiasutuse koostöö kohustus tuleneb krediidiasutuste seadusest ja Finantsinspektsiooni seadusest üldiselt ning laieneb krediidiasutusele tervikuna, mitte ainult sisekontrollifunktsioone täitvatele isikutele.</w:t>
      </w:r>
    </w:p>
    <w:p w14:paraId="1827EA83" w14:textId="77777777" w:rsidR="00D851B9" w:rsidRDefault="00D851B9" w:rsidP="00C77DB7"/>
    <w:p w14:paraId="012BCE19" w14:textId="46D04361" w:rsidR="00D851B9" w:rsidRPr="00C77DB7" w:rsidRDefault="00D851B9" w:rsidP="00C77DB7">
      <w:r>
        <w:rPr>
          <w:b/>
          <w:bCs/>
        </w:rPr>
        <w:t xml:space="preserve">Ettepanek: </w:t>
      </w:r>
      <w:r>
        <w:t>palume sät</w:t>
      </w:r>
      <w:r w:rsidR="003A08D5">
        <w:t>te sisu, eesmärki ja koostöö ulatust</w:t>
      </w:r>
      <w:r>
        <w:t xml:space="preserve"> täpsustada või </w:t>
      </w:r>
      <w:r w:rsidR="003A08D5">
        <w:t>eelnõust eemaldada.</w:t>
      </w:r>
    </w:p>
    <w:p w14:paraId="7B692C45" w14:textId="77777777" w:rsidR="00506C9B" w:rsidRDefault="00506C9B" w:rsidP="00C77DB7"/>
    <w:p w14:paraId="49075267" w14:textId="13ABCA23" w:rsidR="00C77DB7" w:rsidRDefault="00BA1715" w:rsidP="00BA1715">
      <w:pPr>
        <w:pStyle w:val="ListParagraph"/>
      </w:pPr>
      <w:r>
        <w:t xml:space="preserve">KAS § 63 lg 2 p 5 </w:t>
      </w:r>
      <w:r w:rsidR="00BA7F12">
        <w:t>–</w:t>
      </w:r>
      <w:r>
        <w:t xml:space="preserve"> </w:t>
      </w:r>
      <w:r w:rsidR="00BA7F12">
        <w:t>s</w:t>
      </w:r>
      <w:r w:rsidR="006E2FDE" w:rsidRPr="006E2FDE">
        <w:t>ätet täiendatakse tekstiosaga “</w:t>
      </w:r>
      <w:r w:rsidR="006E2FDE">
        <w:t xml:space="preserve">[...] </w:t>
      </w:r>
      <w:r w:rsidR="006E2FDE" w:rsidRPr="006E2FDE">
        <w:rPr>
          <w:i/>
          <w:iCs/>
        </w:rPr>
        <w:t>mis peab sisaldama muu hulgas krediidiasutuse usaldusväärset administreerimiskorda ja raamatupidamise sise-eeskirja</w:t>
      </w:r>
      <w:r w:rsidR="006E2FDE" w:rsidRPr="006E2FDE">
        <w:t>”. Täiendus põhineb CRD VI artikli 74 lõike 1 punktil c, mis kasutab sõnastust “</w:t>
      </w:r>
      <w:r w:rsidR="006E2FDE" w:rsidRPr="00DA4809">
        <w:rPr>
          <w:i/>
          <w:iCs/>
        </w:rPr>
        <w:t xml:space="preserve">piisavad sisekontrollimehhanismid, muu hulgas usaldusväärne juhtimis- ja </w:t>
      </w:r>
      <w:proofErr w:type="spellStart"/>
      <w:r w:rsidR="006E2FDE" w:rsidRPr="00DA4809">
        <w:rPr>
          <w:i/>
          <w:iCs/>
        </w:rPr>
        <w:t>raamatu¬pidamiskord</w:t>
      </w:r>
      <w:proofErr w:type="spellEnd"/>
      <w:r w:rsidR="006E2FDE" w:rsidRPr="006E2FDE">
        <w:t>”.</w:t>
      </w:r>
    </w:p>
    <w:p w14:paraId="51BABD0A" w14:textId="77777777" w:rsidR="00130013" w:rsidRDefault="00130013" w:rsidP="00130013"/>
    <w:p w14:paraId="717D0D4F" w14:textId="4D7E699E" w:rsidR="00130013" w:rsidRDefault="00130013" w:rsidP="00130013">
      <w:r>
        <w:rPr>
          <w:b/>
          <w:bCs/>
        </w:rPr>
        <w:t xml:space="preserve">Ettepanek: </w:t>
      </w:r>
      <w:r w:rsidR="000257F3">
        <w:t xml:space="preserve">kasutada </w:t>
      </w:r>
      <w:r w:rsidR="00F9368A" w:rsidRPr="00F9368A">
        <w:t>CRD VI-ga sama sõnastust ja asendada sõna “</w:t>
      </w:r>
      <w:r w:rsidR="00F9368A" w:rsidRPr="00F9368A">
        <w:rPr>
          <w:i/>
          <w:iCs/>
        </w:rPr>
        <w:t>administreerimiskord</w:t>
      </w:r>
      <w:r w:rsidR="00F9368A" w:rsidRPr="00F9368A">
        <w:t>” sõnaga “</w:t>
      </w:r>
      <w:r w:rsidR="00F9368A" w:rsidRPr="00F9368A">
        <w:rPr>
          <w:i/>
          <w:iCs/>
        </w:rPr>
        <w:t>juhtimiskord</w:t>
      </w:r>
      <w:r w:rsidR="00F9368A" w:rsidRPr="00F9368A">
        <w:t>”.</w:t>
      </w:r>
      <w:r w:rsidR="00F9368A">
        <w:t xml:space="preserve"> </w:t>
      </w:r>
      <w:r w:rsidR="00336EE9" w:rsidRPr="00336EE9">
        <w:t>Samuti palume seletuskirjas selgitada ja täpsustada, mida „usaldusväärne administreerimiskord/juhtimiskord“ tähendab, et seadus oleks üheselt mõistetav ja täidetav.</w:t>
      </w:r>
    </w:p>
    <w:p w14:paraId="0341BF10" w14:textId="77777777" w:rsidR="004F5097" w:rsidRDefault="004F5097" w:rsidP="00130013"/>
    <w:p w14:paraId="4CAD454E" w14:textId="04356A2E" w:rsidR="00001671" w:rsidRDefault="004F5097" w:rsidP="004F5097">
      <w:pPr>
        <w:pStyle w:val="ListParagraph"/>
      </w:pPr>
      <w:r>
        <w:t>KAS § 65 lg 2</w:t>
      </w:r>
      <w:r>
        <w:rPr>
          <w:vertAlign w:val="superscript"/>
        </w:rPr>
        <w:t>1</w:t>
      </w:r>
      <w:r>
        <w:t xml:space="preserve"> </w:t>
      </w:r>
      <w:r w:rsidR="00BA7F12">
        <w:t>–</w:t>
      </w:r>
      <w:r>
        <w:t xml:space="preserve"> </w:t>
      </w:r>
      <w:r w:rsidR="00BA7F12">
        <w:t>n</w:t>
      </w:r>
      <w:r w:rsidR="003818CA" w:rsidRPr="003818CA">
        <w:t>imetatud sätte kohaselt võib Finantsinspektsioon otsustada samasse konsolideerimisgruppi kuuluvate ühingute ühinemisel, et ühinemisloa taotlemine pole vajalik. KAS § 65 lg 2</w:t>
      </w:r>
      <w:r w:rsidR="003818CA" w:rsidRPr="00212C48">
        <w:rPr>
          <w:vertAlign w:val="superscript"/>
        </w:rPr>
        <w:t>1</w:t>
      </w:r>
      <w:r w:rsidR="003818CA" w:rsidRPr="003818CA">
        <w:t xml:space="preserve"> näeb ette, et samasse konsolideerimisgruppi kuuluvad ühingud teavitavad Finantsinspektsiooni ühinemisest viivitamatult peale ühinemise otsuse vastuvõtmist, misjärel teeb Finantsinspektsioon ühe kuu jooksul otsuse, kas ühinemise luba on vajalik</w:t>
      </w:r>
      <w:r w:rsidR="003818CA">
        <w:t>.</w:t>
      </w:r>
      <w:r w:rsidR="003818CA">
        <w:br/>
      </w:r>
      <w:r w:rsidR="003818CA">
        <w:br/>
      </w:r>
      <w:r w:rsidR="00212C48" w:rsidRPr="00212C48">
        <w:t>Sõnastus “</w:t>
      </w:r>
      <w:r w:rsidR="00212C48" w:rsidRPr="00212C48">
        <w:rPr>
          <w:i/>
          <w:iCs/>
        </w:rPr>
        <w:t>peale ühinemise otsuse vastuvõtmist</w:t>
      </w:r>
      <w:r w:rsidR="00212C48" w:rsidRPr="00212C48">
        <w:t xml:space="preserve">” tekitab küsimuse, kas tegemist on ühingute esialgse kavatsusega ühinemine läbi viia (millisel juhul on keeruline määratleda konkreetset momenti) või ühinemisotsusega ÄS-i kohaselt </w:t>
      </w:r>
      <w:r w:rsidR="00212C48" w:rsidRPr="00212C48">
        <w:lastRenderedPageBreak/>
        <w:t>(ühinevate ühingute aktsionäride või osanike otsus). CRD</w:t>
      </w:r>
      <w:r w:rsidR="0063713E">
        <w:t xml:space="preserve"> VI</w:t>
      </w:r>
      <w:r w:rsidR="00212C48" w:rsidRPr="00212C48">
        <w:t xml:space="preserve"> </w:t>
      </w:r>
      <w:r w:rsidR="0063713E">
        <w:t>artikli</w:t>
      </w:r>
      <w:r w:rsidR="00212C48" w:rsidRPr="00212C48">
        <w:t xml:space="preserve"> 27i</w:t>
      </w:r>
      <w:r w:rsidR="0063713E">
        <w:t xml:space="preserve"> lõike </w:t>
      </w:r>
      <w:r w:rsidR="00212C48" w:rsidRPr="00212C48">
        <w:t>1 sõnastus “</w:t>
      </w:r>
      <w:r w:rsidR="003A5398">
        <w:t xml:space="preserve">[...] </w:t>
      </w:r>
      <w:proofErr w:type="spellStart"/>
      <w:r w:rsidR="00212C48" w:rsidRPr="0063713E">
        <w:rPr>
          <w:i/>
          <w:iCs/>
        </w:rPr>
        <w:t>after</w:t>
      </w:r>
      <w:proofErr w:type="spellEnd"/>
      <w:r w:rsidR="00212C48" w:rsidRPr="0063713E">
        <w:rPr>
          <w:i/>
          <w:iCs/>
        </w:rPr>
        <w:t xml:space="preserve"> </w:t>
      </w:r>
      <w:proofErr w:type="spellStart"/>
      <w:r w:rsidR="00212C48" w:rsidRPr="0063713E">
        <w:rPr>
          <w:i/>
          <w:iCs/>
        </w:rPr>
        <w:t>the</w:t>
      </w:r>
      <w:proofErr w:type="spellEnd"/>
      <w:r w:rsidR="00212C48" w:rsidRPr="0063713E">
        <w:rPr>
          <w:i/>
          <w:iCs/>
        </w:rPr>
        <w:t xml:space="preserve"> </w:t>
      </w:r>
      <w:proofErr w:type="spellStart"/>
      <w:r w:rsidR="00212C48" w:rsidRPr="0063713E">
        <w:rPr>
          <w:i/>
          <w:iCs/>
        </w:rPr>
        <w:t>adoption</w:t>
      </w:r>
      <w:proofErr w:type="spellEnd"/>
      <w:r w:rsidR="00212C48" w:rsidRPr="0063713E">
        <w:rPr>
          <w:i/>
          <w:iCs/>
        </w:rPr>
        <w:t xml:space="preserve"> of </w:t>
      </w:r>
      <w:proofErr w:type="spellStart"/>
      <w:r w:rsidR="00212C48" w:rsidRPr="0063713E">
        <w:rPr>
          <w:i/>
          <w:iCs/>
        </w:rPr>
        <w:t>the</w:t>
      </w:r>
      <w:proofErr w:type="spellEnd"/>
      <w:r w:rsidR="00212C48" w:rsidRPr="0063713E">
        <w:rPr>
          <w:i/>
          <w:iCs/>
        </w:rPr>
        <w:t xml:space="preserve"> </w:t>
      </w:r>
      <w:proofErr w:type="spellStart"/>
      <w:r w:rsidR="00212C48" w:rsidRPr="0063713E">
        <w:rPr>
          <w:i/>
          <w:iCs/>
        </w:rPr>
        <w:t>draft</w:t>
      </w:r>
      <w:proofErr w:type="spellEnd"/>
      <w:r w:rsidR="00212C48" w:rsidRPr="0063713E">
        <w:rPr>
          <w:i/>
          <w:iCs/>
        </w:rPr>
        <w:t xml:space="preserve"> </w:t>
      </w:r>
      <w:proofErr w:type="spellStart"/>
      <w:r w:rsidR="00212C48" w:rsidRPr="0063713E">
        <w:rPr>
          <w:i/>
          <w:iCs/>
        </w:rPr>
        <w:t>terms</w:t>
      </w:r>
      <w:proofErr w:type="spellEnd"/>
      <w:r w:rsidR="00212C48" w:rsidRPr="0063713E">
        <w:rPr>
          <w:i/>
          <w:iCs/>
        </w:rPr>
        <w:t xml:space="preserve"> of </w:t>
      </w:r>
      <w:proofErr w:type="spellStart"/>
      <w:r w:rsidR="00212C48" w:rsidRPr="0063713E">
        <w:rPr>
          <w:i/>
          <w:iCs/>
        </w:rPr>
        <w:t>the</w:t>
      </w:r>
      <w:proofErr w:type="spellEnd"/>
      <w:r w:rsidR="00212C48" w:rsidRPr="0063713E">
        <w:rPr>
          <w:i/>
          <w:iCs/>
        </w:rPr>
        <w:t xml:space="preserve"> </w:t>
      </w:r>
      <w:proofErr w:type="spellStart"/>
      <w:r w:rsidR="00212C48" w:rsidRPr="0063713E">
        <w:rPr>
          <w:i/>
          <w:iCs/>
        </w:rPr>
        <w:t>proposed</w:t>
      </w:r>
      <w:proofErr w:type="spellEnd"/>
      <w:r w:rsidR="00212C48" w:rsidRPr="0063713E">
        <w:rPr>
          <w:i/>
          <w:iCs/>
        </w:rPr>
        <w:t xml:space="preserve"> </w:t>
      </w:r>
      <w:proofErr w:type="spellStart"/>
      <w:r w:rsidR="00212C48" w:rsidRPr="0063713E">
        <w:rPr>
          <w:i/>
          <w:iCs/>
        </w:rPr>
        <w:t>operation</w:t>
      </w:r>
      <w:proofErr w:type="spellEnd"/>
      <w:r w:rsidR="00001671">
        <w:t xml:space="preserve"> [...]</w:t>
      </w:r>
      <w:r w:rsidR="00212C48" w:rsidRPr="00212C48">
        <w:t>” viitab momendile, mil ühinemise esialgsed tingimused on kokku lepitud.</w:t>
      </w:r>
      <w:r w:rsidR="00AA3357">
        <w:br/>
      </w:r>
      <w:r w:rsidR="00AA3357">
        <w:br/>
      </w:r>
      <w:r w:rsidR="00802210" w:rsidRPr="00802210">
        <w:t>Lisaks juhime tähelepanu, et konsolideerimisgruppi kuuluvate ühingute ühinemisel on võimalus, et ÄS-i kohaselt ühinemisotsust vastu võtma ei pea (ÄS § 421 lg 5 ja § 412 lg 4 kohaselt ei pea seda tegema, kui ühendav ühing ühendab endaga 100%-lise tütre). Seega oleks selgem siduda nimetatud moment konkreetse sündmusega, mis ühinemise protsessis alati toimub, milleks on näiteks ühinemislepingu sõlmimine.</w:t>
      </w:r>
    </w:p>
    <w:p w14:paraId="62634F3F" w14:textId="77777777" w:rsidR="00001671" w:rsidRDefault="00001671" w:rsidP="00001671"/>
    <w:p w14:paraId="44DB0C5A" w14:textId="3690FCE8" w:rsidR="004F5097" w:rsidRDefault="00001671" w:rsidP="00001671">
      <w:r>
        <w:rPr>
          <w:b/>
          <w:bCs/>
        </w:rPr>
        <w:t xml:space="preserve">Ettepanek: </w:t>
      </w:r>
      <w:r>
        <w:t>palume</w:t>
      </w:r>
      <w:r w:rsidR="00212C48" w:rsidRPr="00212C48">
        <w:t xml:space="preserve"> sätet täpsustada, et oleks selgelt aru saada, millises ühinemise etapis tuleb Finantsinspektsiooni antud olukorras teavitada</w:t>
      </w:r>
      <w:r w:rsidR="001A1021">
        <w:t xml:space="preserve"> või</w:t>
      </w:r>
      <w:r w:rsidR="006A3E80">
        <w:t xml:space="preserve"> </w:t>
      </w:r>
      <w:r w:rsidR="005D0509" w:rsidRPr="005D0509">
        <w:t>eemaldada KAS eelnõust eraldi § 65 lg 2</w:t>
      </w:r>
      <w:r w:rsidR="005D0509" w:rsidRPr="005D0509">
        <w:rPr>
          <w:vertAlign w:val="superscript"/>
        </w:rPr>
        <w:t>1</w:t>
      </w:r>
      <w:r w:rsidR="005D0509" w:rsidRPr="005D0509">
        <w:t xml:space="preserve"> kohane teavitamiskohustus</w:t>
      </w:r>
      <w:r w:rsidR="004D71C7">
        <w:t>, kuivõrd vastavalt KAS § 66 lg 2 järgi peavad ühinevad ühingud niikuinii teavitama ühinemisest,</w:t>
      </w:r>
      <w:r w:rsidR="005D0509" w:rsidRPr="005D0509">
        <w:t xml:space="preserve"> ning viia see §</w:t>
      </w:r>
      <w:r w:rsidR="005D0509">
        <w:t> </w:t>
      </w:r>
      <w:r w:rsidR="005D0509" w:rsidRPr="005D0509">
        <w:t xml:space="preserve">66 lg 2 alusel tehtavasse teavitusse. Alternatiivina teeme ettepaneku ühtlustada KAS § 65 </w:t>
      </w:r>
      <w:proofErr w:type="spellStart"/>
      <w:r w:rsidR="005D0509" w:rsidRPr="005D0509">
        <w:t>lg</w:t>
      </w:r>
      <w:r w:rsidR="00E411F5">
        <w:t>-s</w:t>
      </w:r>
      <w:proofErr w:type="spellEnd"/>
      <w:r w:rsidR="005D0509" w:rsidRPr="005D0509">
        <w:t xml:space="preserve"> 2</w:t>
      </w:r>
      <w:r w:rsidR="005D0509" w:rsidRPr="002A7147">
        <w:rPr>
          <w:vertAlign w:val="superscript"/>
        </w:rPr>
        <w:t>1</w:t>
      </w:r>
      <w:r w:rsidR="005D0509" w:rsidRPr="005D0509">
        <w:t xml:space="preserve"> ja § 66 </w:t>
      </w:r>
      <w:proofErr w:type="spellStart"/>
      <w:r w:rsidR="005D0509" w:rsidRPr="005D0509">
        <w:t>l</w:t>
      </w:r>
      <w:r w:rsidR="00E411F5">
        <w:t>g-s</w:t>
      </w:r>
      <w:proofErr w:type="spellEnd"/>
      <w:r w:rsidR="005D0509" w:rsidRPr="005D0509">
        <w:t xml:space="preserve"> 2 regu</w:t>
      </w:r>
      <w:r w:rsidR="005D0509">
        <w:t>l</w:t>
      </w:r>
      <w:r w:rsidR="005D0509" w:rsidRPr="005D0509">
        <w:t>eeritud teavituste ajahetk.</w:t>
      </w:r>
    </w:p>
    <w:p w14:paraId="5E417B68" w14:textId="77777777" w:rsidR="00C4193E" w:rsidRDefault="00C4193E" w:rsidP="00001671"/>
    <w:p w14:paraId="56C32A5C" w14:textId="1FB48568" w:rsidR="00D8402F" w:rsidRPr="00DF6F67" w:rsidRDefault="00D8402F" w:rsidP="00BC32F3">
      <w:pPr>
        <w:pStyle w:val="ListParagraph"/>
        <w:autoSpaceDE w:val="0"/>
        <w:autoSpaceDN w:val="0"/>
        <w:adjustRightInd w:val="0"/>
      </w:pPr>
      <w:r>
        <w:t>KAS § 6</w:t>
      </w:r>
      <w:r w:rsidR="00F65C22">
        <w:t>6 lg 2</w:t>
      </w:r>
      <w:r w:rsidR="00DF6F67">
        <w:t xml:space="preserve"> – </w:t>
      </w:r>
      <w:r w:rsidR="00BC32F3" w:rsidRPr="00BC32F3">
        <w:rPr>
          <w:rFonts w:eastAsia="Times New Roman"/>
        </w:rPr>
        <w:t xml:space="preserve">paragrahvi 66 lõike 2 esimene lause muudetakse ja sõnastatakse järgmiselt: ,,Ühinevate ühingute juhatused peavad viivitamata pärast ühinemislepingu sõlmimist teavitama sellest Finantsinspektsiooni ja esitama ühinemisega seotud toimingute kohta ühinemiskava.“ </w:t>
      </w:r>
      <w:r w:rsidR="005D1345">
        <w:rPr>
          <w:rFonts w:eastAsia="Times New Roman"/>
        </w:rPr>
        <w:t>Sätte p</w:t>
      </w:r>
      <w:r w:rsidR="00D21073" w:rsidRPr="00C84438">
        <w:t xml:space="preserve">raegust </w:t>
      </w:r>
      <w:r w:rsidR="005D1345">
        <w:t xml:space="preserve">ning planeeritavat </w:t>
      </w:r>
      <w:r w:rsidR="00D21073" w:rsidRPr="00C84438">
        <w:t>sõnastust on võimalik tõlgendada ka selliselt, et ühinevate ühingute juhatused kogu koosseisus peavad F</w:t>
      </w:r>
      <w:r w:rsidR="005D1345">
        <w:t>inantsinspektsioonile</w:t>
      </w:r>
      <w:r w:rsidR="00D21073" w:rsidRPr="00C84438">
        <w:t xml:space="preserve"> esitatava teavituse allkirjastama, mis on liiga koormav ja pole ilmselt sätte eesmärk. Sätte eesmärk peaks olema see, et </w:t>
      </w:r>
      <w:r w:rsidR="005D1345" w:rsidRPr="00C84438">
        <w:t>F</w:t>
      </w:r>
      <w:r w:rsidR="005D1345">
        <w:t>inantsinspektsioon</w:t>
      </w:r>
      <w:r w:rsidR="005D1345" w:rsidRPr="00C84438">
        <w:t xml:space="preserve"> </w:t>
      </w:r>
      <w:r w:rsidR="00D21073" w:rsidRPr="00C84438">
        <w:t xml:space="preserve">saab ühinemislepingu sõlmimisest teada ja piisab, kui selle teavituse </w:t>
      </w:r>
      <w:r w:rsidR="005D1345" w:rsidRPr="00C84438">
        <w:t>F</w:t>
      </w:r>
      <w:r w:rsidR="005D1345">
        <w:t>inantsinspektsioonile</w:t>
      </w:r>
      <w:r w:rsidR="00D21073" w:rsidRPr="00C84438">
        <w:t xml:space="preserve"> allkirjastavad ühinevate ühingute esindusõiguslikud isikud (tavapäraselt ühingu juhatuse liige).</w:t>
      </w:r>
    </w:p>
    <w:p w14:paraId="7D03DD5C" w14:textId="77777777" w:rsidR="00DF6F67" w:rsidRDefault="00DF6F67" w:rsidP="00DF6F67"/>
    <w:p w14:paraId="30332999" w14:textId="029B06EB" w:rsidR="00DF6F67" w:rsidRPr="00DF6F67" w:rsidRDefault="00DF6F67" w:rsidP="00DF6F67">
      <w:r>
        <w:rPr>
          <w:b/>
          <w:bCs/>
        </w:rPr>
        <w:t xml:space="preserve">Ettepanek: </w:t>
      </w:r>
      <w:r w:rsidR="007B3AB5">
        <w:t>sõnastada muudetav lause ümber selliselt, et § 66 lg 2</w:t>
      </w:r>
      <w:r w:rsidR="00C84438" w:rsidRPr="00C84438">
        <w:t xml:space="preserve"> esimene lause algaks järgmiselt: </w:t>
      </w:r>
      <w:r w:rsidR="007B3AB5">
        <w:t>„</w:t>
      </w:r>
      <w:r w:rsidR="00C84438" w:rsidRPr="00C84438">
        <w:t>Ühinevad ühingud peavad [...].</w:t>
      </w:r>
      <w:r w:rsidR="007B3AB5">
        <w:t>“</w:t>
      </w:r>
      <w:r w:rsidR="00C84438" w:rsidRPr="00C84438">
        <w:t xml:space="preserve">  </w:t>
      </w:r>
    </w:p>
    <w:p w14:paraId="76A9652D" w14:textId="77777777" w:rsidR="00D8402F" w:rsidRDefault="00D8402F" w:rsidP="00001671"/>
    <w:p w14:paraId="14519EA0" w14:textId="59EE3F52" w:rsidR="00BF2991" w:rsidRDefault="00BF2991" w:rsidP="00C4193E">
      <w:pPr>
        <w:pStyle w:val="ListParagraph"/>
      </w:pPr>
      <w:r>
        <w:t xml:space="preserve">KAS § 68 lg 1 – lisaks </w:t>
      </w:r>
      <w:r w:rsidR="007E2F0B">
        <w:t>planeeritud muudatustele antud sättes juhime tähelepanu, et sätte praegu</w:t>
      </w:r>
      <w:r w:rsidR="00E76804">
        <w:t>s</w:t>
      </w:r>
      <w:r w:rsidR="007E2F0B">
        <w:t>e sõnastus</w:t>
      </w:r>
      <w:r w:rsidR="00E76804">
        <w:t xml:space="preserve">e </w:t>
      </w:r>
      <w:r w:rsidR="000A63B8">
        <w:t>„</w:t>
      </w:r>
      <w:r w:rsidR="000A63B8" w:rsidRPr="000A63B8">
        <w:t>Ühinemisloa taotlemiseks peab ühendav krediidiasutus esitama Finantsinspektsioonile taotluse</w:t>
      </w:r>
      <w:r w:rsidR="000A63B8">
        <w:t xml:space="preserve"> [...]“ </w:t>
      </w:r>
      <w:r w:rsidR="00DA5CB0">
        <w:t xml:space="preserve">kohaselt võib sätet piiriüleste ühinemiste korral tõlgendada ka selliselt, et kui </w:t>
      </w:r>
      <w:r w:rsidR="009F7B3F">
        <w:t xml:space="preserve">näiteks </w:t>
      </w:r>
      <w:r w:rsidR="009F7B3F" w:rsidRPr="009F7B3F">
        <w:t>Eesti krediidiasutus oleks ühendatav</w:t>
      </w:r>
      <w:r w:rsidR="009F7B3F">
        <w:t xml:space="preserve"> ühing</w:t>
      </w:r>
      <w:r w:rsidR="009F7B3F" w:rsidRPr="009F7B3F">
        <w:t xml:space="preserve"> ja </w:t>
      </w:r>
      <w:r w:rsidR="009F7B3F">
        <w:t>teise EU liikmesriigi</w:t>
      </w:r>
      <w:r w:rsidR="009F7B3F" w:rsidRPr="009F7B3F">
        <w:t xml:space="preserve"> krediidiasutus ühendav, siis ka sel juhul peaks Läti krediidiasutus ühinemisloa taotlema</w:t>
      </w:r>
      <w:r w:rsidR="007E2F0B">
        <w:t xml:space="preserve"> </w:t>
      </w:r>
      <w:r w:rsidR="00B953D8">
        <w:t xml:space="preserve">Finantsinspektsioonilt. </w:t>
      </w:r>
      <w:r w:rsidR="00B953D8" w:rsidRPr="00B953D8">
        <w:rPr>
          <w:lang w:val="en-GB"/>
        </w:rPr>
        <w:t xml:space="preserve">CRD </w:t>
      </w:r>
      <w:proofErr w:type="spellStart"/>
      <w:r w:rsidR="00B953D8" w:rsidRPr="00B953D8">
        <w:rPr>
          <w:lang w:val="en-GB"/>
        </w:rPr>
        <w:t>Artiklist</w:t>
      </w:r>
      <w:proofErr w:type="spellEnd"/>
      <w:r w:rsidR="00B953D8" w:rsidRPr="00B953D8">
        <w:rPr>
          <w:lang w:val="en-GB"/>
        </w:rPr>
        <w:t xml:space="preserve"> 27i (</w:t>
      </w:r>
      <w:r w:rsidR="00B953D8" w:rsidRPr="00B953D8">
        <w:rPr>
          <w:i/>
          <w:iCs/>
          <w:lang w:val="en-GB"/>
        </w:rPr>
        <w:t xml:space="preserve">Member States shall require institutions, and financial holding companies and mixed financial holding companies within the scope of Article 21a(1) (the “financial stakeholders”) carrying out a merger or division (the “proposed operation”), to notify, after the adoption of the draft terms of the proposed operation and in </w:t>
      </w:r>
      <w:r w:rsidR="00B953D8" w:rsidRPr="00B953D8">
        <w:rPr>
          <w:i/>
          <w:iCs/>
          <w:lang w:val="en-GB"/>
        </w:rPr>
        <w:lastRenderedPageBreak/>
        <w:t xml:space="preserve">advance of the completion of the proposed operation, </w:t>
      </w:r>
      <w:r w:rsidR="00B953D8" w:rsidRPr="00B953D8">
        <w:rPr>
          <w:b/>
          <w:bCs/>
          <w:i/>
          <w:iCs/>
          <w:lang w:val="en-GB"/>
        </w:rPr>
        <w:t>the competent authority which will be responsible for supervising the entities resulting from such proposed operation</w:t>
      </w:r>
      <w:r w:rsidR="00B953D8" w:rsidRPr="00B953D8">
        <w:rPr>
          <w:i/>
          <w:iCs/>
          <w:lang w:val="en-GB"/>
        </w:rPr>
        <w:t>, indicating the relevant information, as specified in accordance with Article 27j(5)</w:t>
      </w:r>
      <w:r w:rsidR="00B953D8" w:rsidRPr="00B953D8">
        <w:rPr>
          <w:lang w:val="en-GB"/>
        </w:rPr>
        <w:t xml:space="preserve">) </w:t>
      </w:r>
      <w:proofErr w:type="spellStart"/>
      <w:r w:rsidR="00B953D8" w:rsidRPr="00B953D8">
        <w:rPr>
          <w:lang w:val="en-GB"/>
        </w:rPr>
        <w:t>võib</w:t>
      </w:r>
      <w:proofErr w:type="spellEnd"/>
      <w:r w:rsidR="00B953D8" w:rsidRPr="00B953D8">
        <w:rPr>
          <w:lang w:val="en-GB"/>
        </w:rPr>
        <w:t xml:space="preserve"> </w:t>
      </w:r>
      <w:proofErr w:type="spellStart"/>
      <w:r w:rsidR="00B953D8" w:rsidRPr="00B953D8">
        <w:rPr>
          <w:lang w:val="en-GB"/>
        </w:rPr>
        <w:t>aru</w:t>
      </w:r>
      <w:proofErr w:type="spellEnd"/>
      <w:r w:rsidR="00B953D8" w:rsidRPr="00B953D8">
        <w:rPr>
          <w:lang w:val="en-GB"/>
        </w:rPr>
        <w:t xml:space="preserve"> </w:t>
      </w:r>
      <w:proofErr w:type="spellStart"/>
      <w:r w:rsidR="00B953D8" w:rsidRPr="00B953D8">
        <w:rPr>
          <w:lang w:val="en-GB"/>
        </w:rPr>
        <w:t>saada</w:t>
      </w:r>
      <w:proofErr w:type="spellEnd"/>
      <w:r w:rsidR="00B953D8" w:rsidRPr="00B953D8">
        <w:rPr>
          <w:lang w:val="en-GB"/>
        </w:rPr>
        <w:t xml:space="preserve">, et </w:t>
      </w:r>
      <w:proofErr w:type="spellStart"/>
      <w:r w:rsidR="00B953D8" w:rsidRPr="00B953D8">
        <w:rPr>
          <w:lang w:val="en-GB"/>
        </w:rPr>
        <w:t>sellisel</w:t>
      </w:r>
      <w:proofErr w:type="spellEnd"/>
      <w:r w:rsidR="00B953D8" w:rsidRPr="00B953D8">
        <w:rPr>
          <w:lang w:val="en-GB"/>
        </w:rPr>
        <w:t xml:space="preserve"> </w:t>
      </w:r>
      <w:proofErr w:type="spellStart"/>
      <w:r w:rsidR="00B953D8" w:rsidRPr="00B953D8">
        <w:rPr>
          <w:lang w:val="en-GB"/>
        </w:rPr>
        <w:t>olukorras</w:t>
      </w:r>
      <w:proofErr w:type="spellEnd"/>
      <w:r w:rsidR="00B953D8" w:rsidRPr="00B953D8">
        <w:rPr>
          <w:lang w:val="en-GB"/>
        </w:rPr>
        <w:t xml:space="preserve"> peaks </w:t>
      </w:r>
      <w:proofErr w:type="spellStart"/>
      <w:r w:rsidR="00B953D8" w:rsidRPr="00B953D8">
        <w:rPr>
          <w:lang w:val="en-GB"/>
        </w:rPr>
        <w:t>ühinemiseks</w:t>
      </w:r>
      <w:proofErr w:type="spellEnd"/>
      <w:r w:rsidR="00B953D8" w:rsidRPr="00B953D8">
        <w:rPr>
          <w:lang w:val="en-GB"/>
        </w:rPr>
        <w:t xml:space="preserve"> loa </w:t>
      </w:r>
      <w:proofErr w:type="spellStart"/>
      <w:r w:rsidR="00B953D8" w:rsidRPr="00B953D8">
        <w:rPr>
          <w:lang w:val="en-GB"/>
        </w:rPr>
        <w:t>saama</w:t>
      </w:r>
      <w:proofErr w:type="spellEnd"/>
      <w:r w:rsidR="00B953D8" w:rsidRPr="00B953D8">
        <w:rPr>
          <w:lang w:val="en-GB"/>
        </w:rPr>
        <w:t xml:space="preserve"> </w:t>
      </w:r>
      <w:proofErr w:type="spellStart"/>
      <w:r w:rsidR="00B953D8" w:rsidRPr="00B953D8">
        <w:rPr>
          <w:lang w:val="en-GB"/>
        </w:rPr>
        <w:t>ainult</w:t>
      </w:r>
      <w:proofErr w:type="spellEnd"/>
      <w:r w:rsidR="00B953D8" w:rsidRPr="00B953D8">
        <w:rPr>
          <w:lang w:val="en-GB"/>
        </w:rPr>
        <w:t xml:space="preserve"> </w:t>
      </w:r>
      <w:proofErr w:type="spellStart"/>
      <w:r w:rsidR="00B953D8" w:rsidRPr="00B953D8">
        <w:rPr>
          <w:lang w:val="en-GB"/>
        </w:rPr>
        <w:t>Läti</w:t>
      </w:r>
      <w:proofErr w:type="spellEnd"/>
      <w:r w:rsidR="00B953D8" w:rsidRPr="00B953D8">
        <w:rPr>
          <w:lang w:val="en-GB"/>
        </w:rPr>
        <w:t xml:space="preserve"> </w:t>
      </w:r>
      <w:proofErr w:type="spellStart"/>
      <w:r w:rsidR="00B953D8" w:rsidRPr="00B953D8">
        <w:rPr>
          <w:lang w:val="en-GB"/>
        </w:rPr>
        <w:t>finantsjärelevalveasutuselt</w:t>
      </w:r>
      <w:proofErr w:type="spellEnd"/>
      <w:r w:rsidR="00B953D8" w:rsidRPr="00B953D8">
        <w:rPr>
          <w:lang w:val="en-GB"/>
        </w:rPr>
        <w:t>.</w:t>
      </w:r>
    </w:p>
    <w:p w14:paraId="69E23791" w14:textId="77777777" w:rsidR="00BF2991" w:rsidRDefault="00BF2991" w:rsidP="00BF2991"/>
    <w:p w14:paraId="0DD68479" w14:textId="590347D9" w:rsidR="00BF2991" w:rsidRDefault="00B953D8" w:rsidP="00BF2991">
      <w:r w:rsidRPr="000A626C">
        <w:rPr>
          <w:b/>
          <w:bCs/>
        </w:rPr>
        <w:t>Ettepanek</w:t>
      </w:r>
      <w:r>
        <w:t xml:space="preserve">: palume kaaluda, kas sätte praegune sõnastus vastab </w:t>
      </w:r>
      <w:r w:rsidR="00FA74D9">
        <w:t>kavandatavale olukorrale piiriüleste ühinemiste korral ning kas Eesti plaanibki rakendada antud küsimuses erisust CRD VI-st.</w:t>
      </w:r>
    </w:p>
    <w:p w14:paraId="43DBA175" w14:textId="77777777" w:rsidR="00BF2991" w:rsidRDefault="00BF2991" w:rsidP="00BF2991"/>
    <w:p w14:paraId="4DD1ECEA" w14:textId="62528F55" w:rsidR="00C4193E" w:rsidRDefault="00C4193E" w:rsidP="00C4193E">
      <w:pPr>
        <w:pStyle w:val="ListParagraph"/>
      </w:pPr>
      <w:r>
        <w:t>KAS § 134</w:t>
      </w:r>
      <w:r>
        <w:rPr>
          <w:vertAlign w:val="superscript"/>
        </w:rPr>
        <w:t>127</w:t>
      </w:r>
      <w:r>
        <w:t xml:space="preserve"> - </w:t>
      </w:r>
      <w:r w:rsidR="004E3864" w:rsidRPr="004E3864">
        <w:t>Kehtivas seaduses juba eksisteerib § 134</w:t>
      </w:r>
      <w:r w:rsidR="004E3864" w:rsidRPr="00BF2991">
        <w:rPr>
          <w:vertAlign w:val="superscript"/>
        </w:rPr>
        <w:t>127</w:t>
      </w:r>
      <w:r w:rsidR="004E3864" w:rsidRPr="004E3864">
        <w:t>, millega reguleeritakse põhimakseteenuse osutamise kohustuse rikkumist. Seletuskirjas ei mainita, et vastav säte on kavas kehtetuks tunnistada</w:t>
      </w:r>
      <w:r w:rsidR="004E3864">
        <w:t>.</w:t>
      </w:r>
    </w:p>
    <w:p w14:paraId="77A5FCAD" w14:textId="77777777" w:rsidR="004E3864" w:rsidRDefault="004E3864" w:rsidP="004E3864"/>
    <w:p w14:paraId="3DAED240" w14:textId="3EE34118" w:rsidR="004E3864" w:rsidRDefault="004E3864" w:rsidP="004E3864">
      <w:r>
        <w:rPr>
          <w:b/>
          <w:bCs/>
        </w:rPr>
        <w:t xml:space="preserve">Ettepanek: </w:t>
      </w:r>
      <w:r>
        <w:t xml:space="preserve">palume täpsustada, </w:t>
      </w:r>
      <w:r w:rsidR="00CE272B" w:rsidRPr="00CE272B">
        <w:t>kas uus sõnastus on mõeldud asendama kehtivas seaduses olevat sätet või on tegemist üksnes nummerdamisveaga.</w:t>
      </w:r>
    </w:p>
    <w:p w14:paraId="058FC85A" w14:textId="77777777" w:rsidR="00CE272B" w:rsidRDefault="00CE272B" w:rsidP="004E3864"/>
    <w:p w14:paraId="5D3EEC59" w14:textId="6076E0DE" w:rsidR="00A5067D" w:rsidRPr="00A5067D" w:rsidRDefault="00D37AB3" w:rsidP="00410377">
      <w:pPr>
        <w:pStyle w:val="ListParagraph"/>
      </w:pPr>
      <w:proofErr w:type="spellStart"/>
      <w:r>
        <w:t>KindlTS</w:t>
      </w:r>
      <w:proofErr w:type="spellEnd"/>
      <w:r>
        <w:t xml:space="preserve"> § 142 </w:t>
      </w:r>
      <w:proofErr w:type="spellStart"/>
      <w:r>
        <w:t>lg-d</w:t>
      </w:r>
      <w:proofErr w:type="spellEnd"/>
      <w:r>
        <w:t xml:space="preserve"> 1 ja 2 </w:t>
      </w:r>
      <w:r w:rsidR="00002C7D">
        <w:t>–</w:t>
      </w:r>
      <w:r>
        <w:t xml:space="preserve"> </w:t>
      </w:r>
      <w:r w:rsidR="00A5067D" w:rsidRPr="00A5067D">
        <w:t>Kindlustustegevuse seaduse (</w:t>
      </w:r>
      <w:proofErr w:type="spellStart"/>
      <w:r w:rsidR="00A5067D" w:rsidRPr="00A5067D">
        <w:t>KindlTS</w:t>
      </w:r>
      <w:proofErr w:type="spellEnd"/>
      <w:r w:rsidR="00A5067D" w:rsidRPr="00A5067D">
        <w:t>) § 142 lõikeid 1 ja 2 on kavas muuta järgmiselt:</w:t>
      </w:r>
      <w:r w:rsidR="007E324F">
        <w:t xml:space="preserve"> </w:t>
      </w:r>
      <w:r w:rsidR="00A5067D" w:rsidRPr="00A5067D">
        <w:rPr>
          <w:i/>
          <w:iCs/>
        </w:rPr>
        <w:t xml:space="preserve">(1) Vaatamata äriseadustiku § 394 lõikes 2 sätestatule, </w:t>
      </w:r>
      <w:r w:rsidR="00A5067D" w:rsidRPr="00A5067D">
        <w:rPr>
          <w:i/>
          <w:iCs/>
          <w:u w:val="single"/>
        </w:rPr>
        <w:t>võib Finantsinspektsioon määrata</w:t>
      </w:r>
      <w:r w:rsidR="00A5067D" w:rsidRPr="00A5067D">
        <w:rPr>
          <w:i/>
          <w:iCs/>
        </w:rPr>
        <w:t xml:space="preserve"> audiitori ning nõuda audiitorilt ühinemislepingu ja -aruande kontrollimise kohta aruande esitamist. Aruandes tuleb lisaks äriseadustiku §-s 396 sätestatule esitada audiitori arvamus selle kohta, kas ühendava või asutatava kindlustusandja tehnilised eraldised ja kattevara vastavad õigusaktidest tulenevatele nõuetele. (2) Piiriülesel ühinemisel </w:t>
      </w:r>
      <w:r w:rsidR="00A5067D" w:rsidRPr="00A5067D">
        <w:rPr>
          <w:i/>
          <w:iCs/>
          <w:u w:val="single"/>
        </w:rPr>
        <w:t>võib Finantsinspektsioon jätta audiitorettevõtja määramata,</w:t>
      </w:r>
      <w:r w:rsidR="00A5067D" w:rsidRPr="00A5067D">
        <w:rPr>
          <w:i/>
          <w:iCs/>
        </w:rPr>
        <w:t xml:space="preserve"> kui selle on juba määranud lepinguriigi ühineva kindlustusandja asukohariigi kohus või haldusasutus.</w:t>
      </w:r>
    </w:p>
    <w:p w14:paraId="16377BB3" w14:textId="06F4FC53" w:rsidR="00A5067D" w:rsidRPr="00A5067D" w:rsidRDefault="007E324F" w:rsidP="00FE6490">
      <w:pPr>
        <w:ind w:left="720"/>
      </w:pPr>
      <w:r>
        <w:t>Plaanitud muudatusest võib aru saada, et</w:t>
      </w:r>
      <w:r w:rsidR="00FE6490">
        <w:t xml:space="preserve"> k</w:t>
      </w:r>
      <w:r w:rsidR="00A5067D" w:rsidRPr="00A5067D">
        <w:t>indlustusandjate puhul on siseriikliku ühinemise korral audiitorettevõtja määramine Finantsinspektsiooni kaalutlusotsus (ning see pole seadusest tulenevalt kohustuslik), kuid piiriülese ühinemise korral jääb audiitori määramine seadusest tulenevalt üldreeglina kohustuslikuks (lg 2 keelend „</w:t>
      </w:r>
      <w:r w:rsidR="00A5067D" w:rsidRPr="00A5067D">
        <w:rPr>
          <w:i/>
          <w:iCs/>
        </w:rPr>
        <w:t>võib jätta määramata</w:t>
      </w:r>
      <w:r w:rsidR="00A5067D" w:rsidRPr="00A5067D">
        <w:t>“). Erandiks on olukord, kus audiitorettevõtja on juba määratud teise lepinguriigi ühineva kindlustusandja asukohariigi pädeva kohtu või haldusasutuse poolt - sellisel juhul võib Finantsinspektsioon oma äranägemisel määramisest loobuda.</w:t>
      </w:r>
    </w:p>
    <w:p w14:paraId="69915100" w14:textId="50D94033" w:rsidR="00A5067D" w:rsidRDefault="00FE6490" w:rsidP="00FE6490">
      <w:pPr>
        <w:ind w:left="720"/>
      </w:pPr>
      <w:r>
        <w:t>Võrdluseks, k</w:t>
      </w:r>
      <w:r w:rsidR="00A5067D" w:rsidRPr="00A5067D">
        <w:t>rediidiasutuse ühinemise korral, sõltumata sellest, kas tegemist on siseriikliku või piiriülese ühinemisega, ei ole audiitorkontroll enam automaatselt kohustuslik, vaid selle määramine jääb Finantsinspektsiooni diskretsiooni alla.</w:t>
      </w:r>
    </w:p>
    <w:p w14:paraId="604463F4" w14:textId="77777777" w:rsidR="00FE6490" w:rsidRPr="00A5067D" w:rsidRDefault="00FE6490" w:rsidP="00FE6490"/>
    <w:p w14:paraId="06DD5814" w14:textId="09FD574E" w:rsidR="00A5067D" w:rsidRPr="00A5067D" w:rsidRDefault="00FE6490" w:rsidP="00A5067D">
      <w:r>
        <w:rPr>
          <w:b/>
          <w:bCs/>
        </w:rPr>
        <w:t>Ettepanek:</w:t>
      </w:r>
      <w:r>
        <w:t xml:space="preserve"> </w:t>
      </w:r>
      <w:r w:rsidR="0033672C">
        <w:t xml:space="preserve">Selgitada, mis on </w:t>
      </w:r>
      <w:r w:rsidR="00A5067D" w:rsidRPr="00A5067D">
        <w:t xml:space="preserve">sellise regulatiivse erisuse (kindlustusandja </w:t>
      </w:r>
      <w:r w:rsidR="00A5067D" w:rsidRPr="00A5067D">
        <w:rPr>
          <w:i/>
          <w:iCs/>
        </w:rPr>
        <w:t>versus</w:t>
      </w:r>
      <w:r w:rsidR="00A5067D" w:rsidRPr="00A5067D">
        <w:t xml:space="preserve"> krediidiasutus) eesmärk ja põhjendus samasuguste olukordade reguleerimisel. Soovime mõista, miks on kindlustusandjate puhul piiriülese ühinemise korral säilitatud seadusest tulenev auditeerimise kohustus (välja arvatud juhul, kui pädev asutus teises </w:t>
      </w:r>
      <w:r w:rsidR="00A5067D" w:rsidRPr="00A5067D">
        <w:lastRenderedPageBreak/>
        <w:t>lepinguriigis on audiitorettevõtja juba määranud), samal ajal kui krediidiasutuste puhul on mõlemat liiki ühinemiste korral jäetud audiitorkontrolli määramine täielikult Finantsinspektsiooni otsustada. Ehk teisisõnu, miks on kindlustusandjate regulatsioon selles osas karmim, kui krediidiasutustele kohalduv regulatsioon. Eelnõu seletuskiri seda erisust ei käsitle ega selgita, mistõttu jääb ebaselgeks, miks on valitud just selline lahendus ning millisel eesmärgil nähakse kindlustusandjate ja krediidiasutuste ühinemiste puhul ette erinevad audiitorkontrolli nõuded.</w:t>
      </w:r>
    </w:p>
    <w:p w14:paraId="4622889F" w14:textId="77777777" w:rsidR="00DF6F67" w:rsidRDefault="00DF6F67" w:rsidP="00C77DB7"/>
    <w:p w14:paraId="5739F2DF" w14:textId="4D75159D" w:rsidR="00983B93" w:rsidRPr="00983B93" w:rsidRDefault="00263DC8" w:rsidP="00983B93">
      <w:pPr>
        <w:pStyle w:val="ListParagraph"/>
      </w:pPr>
      <w:r>
        <w:t xml:space="preserve">Seaduseelnõu seletuskirja mõjuanalüüs </w:t>
      </w:r>
      <w:r w:rsidR="00E166AD">
        <w:t>–</w:t>
      </w:r>
      <w:r>
        <w:t xml:space="preserve"> </w:t>
      </w:r>
      <w:r w:rsidR="00E166AD">
        <w:t xml:space="preserve">eelnõu p 7.1.3 (i) alapunkt „Mõju olulisus“ </w:t>
      </w:r>
      <w:r w:rsidR="004C23F4">
        <w:t xml:space="preserve">hindab mõju keskmiseks ning sisaldab muuhulgas lauset </w:t>
      </w:r>
      <w:r w:rsidR="00216E67">
        <w:t>–</w:t>
      </w:r>
      <w:r w:rsidR="004C23F4">
        <w:t xml:space="preserve"> </w:t>
      </w:r>
      <w:r w:rsidR="00216E67">
        <w:t>„</w:t>
      </w:r>
      <w:r w:rsidR="00216E67" w:rsidRPr="00216E67">
        <w:t>Muudatused ühinemise ja jagunemise regulatsioonis avaldavad mõju vaid nende krediidiasutuste, investeerimisühingute ja valdusettevõtjate suhtes, kes esitavad Finantsinspektsioonile ühinemise või jagunemise loa pärast 2024. aasta III kvartalit.</w:t>
      </w:r>
      <w:r w:rsidR="00216E67">
        <w:t xml:space="preserve">“ Tegelikkuses saame aru, et </w:t>
      </w:r>
      <w:r w:rsidR="00983B93">
        <w:t xml:space="preserve">antud eelnõuga ei ole plaanis </w:t>
      </w:r>
      <w:r w:rsidR="00983B93" w:rsidRPr="00983B93">
        <w:rPr>
          <w:lang w:val="fi-FI"/>
        </w:rPr>
        <w:t>muuta haldusmenetluse seaduse § 5 lõikest 5 tulenevat põhimõtet, et kui haldusmenetlust reguleerivad õigusnormid muutuvad menetluse ajal, kohaldatakse menetluse alguses kehtinud õigusnorme</w:t>
      </w:r>
      <w:r w:rsidR="00983B93">
        <w:rPr>
          <w:lang w:val="fi-FI"/>
        </w:rPr>
        <w:t xml:space="preserve">, mistõttu </w:t>
      </w:r>
      <w:r w:rsidR="00983B93" w:rsidRPr="00983B93">
        <w:rPr>
          <w:lang w:val="fi-FI"/>
        </w:rPr>
        <w:t>ühinemisloa taotlust, mille menetlust on alustatud enne 11. jaanuarit 2026, tuleb siiski lõpuni menetleda praegu kehtivate KAS ühinemise sätete alusel</w:t>
      </w:r>
      <w:r w:rsidR="00994CAB">
        <w:rPr>
          <w:lang w:val="fi-FI"/>
        </w:rPr>
        <w:t>.</w:t>
      </w:r>
    </w:p>
    <w:p w14:paraId="1A598985" w14:textId="77777777" w:rsidR="00994CAB" w:rsidRDefault="00994CAB" w:rsidP="00994CAB"/>
    <w:p w14:paraId="1C3C4197" w14:textId="09C45BA5" w:rsidR="00263DC8" w:rsidRPr="00DF6F67" w:rsidRDefault="00994CAB" w:rsidP="00994CAB">
      <w:r w:rsidRPr="00994CAB">
        <w:rPr>
          <w:b/>
          <w:bCs/>
        </w:rPr>
        <w:t>Ettepanek</w:t>
      </w:r>
      <w:r>
        <w:t>: selguse huvides ka seletuskirjas selgelt sätestada</w:t>
      </w:r>
      <w:r w:rsidR="00B867D2">
        <w:t>, et mõju avaldub on üksnes muudatuste jõustumise järgselt alustatud menetlustele.</w:t>
      </w:r>
    </w:p>
    <w:p w14:paraId="5054A219" w14:textId="77777777" w:rsidR="00DF6F67" w:rsidRDefault="00DF6F67" w:rsidP="00C77DB7"/>
    <w:p w14:paraId="4D3D9830" w14:textId="77777777" w:rsidR="005A2A40" w:rsidRDefault="005A2A40" w:rsidP="00C77DB7">
      <w:r>
        <w:t>Lugupidamisega</w:t>
      </w:r>
    </w:p>
    <w:p w14:paraId="4F0446CC" w14:textId="77777777" w:rsidR="005A2A40" w:rsidRDefault="005A2A40" w:rsidP="00C77DB7"/>
    <w:p w14:paraId="721CE662" w14:textId="77777777" w:rsidR="005A2A40" w:rsidRDefault="005A2A40" w:rsidP="00C77DB7">
      <w:r>
        <w:t>/</w:t>
      </w:r>
      <w:r w:rsidRPr="000700C0">
        <w:t>allkirjastatud digitaalselt</w:t>
      </w:r>
      <w:r>
        <w:t>/</w:t>
      </w:r>
    </w:p>
    <w:p w14:paraId="634251CE" w14:textId="77777777" w:rsidR="00E94CD2" w:rsidRDefault="00E94CD2" w:rsidP="00C77DB7"/>
    <w:p w14:paraId="622C92A5" w14:textId="5C1D864F" w:rsidR="003B2D27" w:rsidRPr="007D15F7" w:rsidRDefault="007D15F7" w:rsidP="00C77DB7">
      <w:r w:rsidRPr="007D15F7">
        <w:t>Kirsti Pent</w:t>
      </w:r>
    </w:p>
    <w:p w14:paraId="3A408853" w14:textId="5CFD4DC4" w:rsidR="003B2D27" w:rsidRPr="000135A9" w:rsidRDefault="003B2D27" w:rsidP="00C77DB7">
      <w:r>
        <w:t>Finantsõiguse komisjon</w:t>
      </w:r>
    </w:p>
    <w:sectPr w:rsidR="003B2D27" w:rsidRPr="000135A9">
      <w:headerReference w:type="default" r:id="rId9"/>
      <w:footerReference w:type="default" r:id="rId10"/>
      <w:footnotePr>
        <w:pos w:val="beneathText"/>
      </w:footnotePr>
      <w:pgSz w:w="11906" w:h="16838"/>
      <w:pgMar w:top="2169" w:right="1800" w:bottom="1800" w:left="180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D5B1" w14:textId="77777777" w:rsidR="008F128B" w:rsidRDefault="008F128B" w:rsidP="00C77DB7">
      <w:r>
        <w:separator/>
      </w:r>
    </w:p>
  </w:endnote>
  <w:endnote w:type="continuationSeparator" w:id="0">
    <w:p w14:paraId="77054FAD" w14:textId="77777777" w:rsidR="008F128B" w:rsidRDefault="008F128B" w:rsidP="00C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4777" w14:textId="18A29AA4" w:rsidR="00467D2A" w:rsidRDefault="00A3176D" w:rsidP="00C77DB7">
    <w:pPr>
      <w:pStyle w:val="Footer"/>
    </w:pPr>
    <w:bookmarkStart w:id="0" w:name="_Hlk101173236"/>
    <w:bookmarkStart w:id="1" w:name="_Hlk101173237"/>
    <w:r>
      <w:t xml:space="preserve">Kentmanni 4 </w:t>
    </w:r>
    <w:r w:rsidR="00467D2A">
      <w:t xml:space="preserve">              Tel 662 0665             </w:t>
    </w:r>
    <w:r w:rsidR="00467D2A">
      <w:tab/>
      <w:t xml:space="preserve">                                       </w:t>
    </w:r>
    <w:r w:rsidR="00D91E9F">
      <w:t xml:space="preserve">  </w:t>
    </w:r>
    <w:r w:rsidR="00467D2A">
      <w:t xml:space="preserve"> </w:t>
    </w:r>
    <w:r w:rsidR="00226B88">
      <w:t xml:space="preserve">  </w:t>
    </w:r>
    <w:r w:rsidR="00467D2A">
      <w:t>Arvelduskonto</w:t>
    </w:r>
    <w:r w:rsidR="00467D2A" w:rsidRPr="0010445C">
      <w:t xml:space="preserve"> </w:t>
    </w:r>
  </w:p>
  <w:p w14:paraId="2A2382EA" w14:textId="63A78F57" w:rsidR="00467D2A" w:rsidRDefault="00467D2A" w:rsidP="00C77DB7">
    <w:pPr>
      <w:pStyle w:val="Footer"/>
    </w:pPr>
    <w:r>
      <w:t>101</w:t>
    </w:r>
    <w:r w:rsidR="00A3176D">
      <w:t>16</w:t>
    </w:r>
    <w:r>
      <w:t xml:space="preserve"> TALLINN        E-post:</w:t>
    </w:r>
    <w:r w:rsidR="00D91E9F">
      <w:t xml:space="preserve"> </w:t>
    </w:r>
    <w:r>
      <w:t xml:space="preserve">advokatuur@advokatuur.ee  </w:t>
    </w:r>
    <w:r w:rsidR="00226B88">
      <w:t xml:space="preserve">  </w:t>
    </w:r>
    <w:r w:rsidR="00226B88" w:rsidRPr="00226B88">
      <w:t>EE167700771009219435</w:t>
    </w:r>
    <w:r>
      <w:t xml:space="preserve">                                                        </w:t>
    </w:r>
  </w:p>
  <w:p w14:paraId="2F620707" w14:textId="6D31ED10" w:rsidR="00467D2A" w:rsidRDefault="00467D2A" w:rsidP="00C77DB7">
    <w:pPr>
      <w:pStyle w:val="Footer"/>
    </w:pPr>
    <w:proofErr w:type="spellStart"/>
    <w:r>
      <w:t>Reg</w:t>
    </w:r>
    <w:proofErr w:type="spellEnd"/>
    <w:r>
      <w:t xml:space="preserve"> kood </w:t>
    </w:r>
    <w:r w:rsidRPr="00A661B6">
      <w:t>74000027</w:t>
    </w:r>
    <w:r>
      <w:t xml:space="preserve">                                                                            </w:t>
    </w:r>
    <w:r w:rsidR="00226B88">
      <w:t xml:space="preserve">      </w:t>
    </w:r>
    <w:r w:rsidR="00226B88" w:rsidRPr="00226B88">
      <w:t>AS LHV Pank</w:t>
    </w:r>
    <w:r>
      <w:tab/>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EAC6" w14:textId="77777777" w:rsidR="008F128B" w:rsidRDefault="008F128B" w:rsidP="00C77DB7">
      <w:r>
        <w:separator/>
      </w:r>
    </w:p>
  </w:footnote>
  <w:footnote w:type="continuationSeparator" w:id="0">
    <w:p w14:paraId="00B4D84D" w14:textId="77777777" w:rsidR="008F128B" w:rsidRDefault="008F128B" w:rsidP="00C77DB7">
      <w:r>
        <w:continuationSeparator/>
      </w:r>
    </w:p>
  </w:footnote>
  <w:footnote w:id="1">
    <w:p w14:paraId="453147C3" w14:textId="03A3ADB0" w:rsidR="00126050" w:rsidRPr="00126050" w:rsidRDefault="00126050" w:rsidP="00C77DB7">
      <w:pPr>
        <w:pStyle w:val="FootnoteText"/>
        <w:rPr>
          <w:lang w:val="en-US"/>
        </w:rPr>
      </w:pPr>
      <w:r>
        <w:rPr>
          <w:rStyle w:val="FootnoteReference"/>
        </w:rPr>
        <w:footnoteRef/>
      </w:r>
      <w:r>
        <w:t xml:space="preserve"> </w:t>
      </w:r>
      <w:proofErr w:type="spellStart"/>
      <w:r w:rsidR="003047AF" w:rsidRPr="003047AF">
        <w:t>Consultation</w:t>
      </w:r>
      <w:proofErr w:type="spellEnd"/>
      <w:r w:rsidR="003047AF" w:rsidRPr="003047AF">
        <w:t xml:space="preserve"> </w:t>
      </w:r>
      <w:proofErr w:type="spellStart"/>
      <w:r w:rsidR="003047AF" w:rsidRPr="003047AF">
        <w:t>Paper</w:t>
      </w:r>
      <w:proofErr w:type="spellEnd"/>
      <w:r w:rsidR="003047AF" w:rsidRPr="003047AF">
        <w:t xml:space="preserve"> on </w:t>
      </w:r>
      <w:proofErr w:type="spellStart"/>
      <w:r w:rsidR="003047AF" w:rsidRPr="003047AF">
        <w:t>draft</w:t>
      </w:r>
      <w:proofErr w:type="spellEnd"/>
      <w:r w:rsidR="003047AF" w:rsidRPr="003047AF">
        <w:t xml:space="preserve"> </w:t>
      </w:r>
      <w:proofErr w:type="spellStart"/>
      <w:r w:rsidR="003047AF" w:rsidRPr="003047AF">
        <w:t>revised</w:t>
      </w:r>
      <w:proofErr w:type="spellEnd"/>
      <w:r w:rsidR="003047AF" w:rsidRPr="003047AF">
        <w:t xml:space="preserve"> </w:t>
      </w:r>
      <w:proofErr w:type="spellStart"/>
      <w:r w:rsidR="003047AF" w:rsidRPr="003047AF">
        <w:t>Guidelines</w:t>
      </w:r>
      <w:proofErr w:type="spellEnd"/>
      <w:r w:rsidR="003047AF" w:rsidRPr="003047AF">
        <w:t xml:space="preserve"> on </w:t>
      </w:r>
      <w:proofErr w:type="spellStart"/>
      <w:r w:rsidR="003047AF" w:rsidRPr="003047AF">
        <w:t>internal</w:t>
      </w:r>
      <w:proofErr w:type="spellEnd"/>
      <w:r w:rsidR="003047AF" w:rsidRPr="003047AF">
        <w:t xml:space="preserve"> </w:t>
      </w:r>
      <w:proofErr w:type="spellStart"/>
      <w:r w:rsidR="003047AF" w:rsidRPr="003047AF">
        <w:t>governance</w:t>
      </w:r>
      <w:proofErr w:type="spellEnd"/>
      <w:r w:rsidR="003047AF">
        <w:t xml:space="preserve">. Kättesaadav: </w:t>
      </w:r>
      <w:r w:rsidR="003047AF" w:rsidRPr="003047AF">
        <w:t>https://www.eba.europa.eu/publications-and-media/press-releases/eba-consults-revised-guidelines-internal-governance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A6AB" w14:textId="77777777" w:rsidR="00815FE3" w:rsidRDefault="00815FE3" w:rsidP="00815FE3">
    <w:pPr>
      <w:pStyle w:val="Header"/>
      <w:jc w:val="center"/>
      <w:rPr>
        <w:sz w:val="36"/>
      </w:rPr>
    </w:pPr>
    <w:r>
      <w:rPr>
        <w:noProof/>
        <w:position w:val="-35"/>
        <w:sz w:val="20"/>
      </w:rPr>
      <w:drawing>
        <wp:inline distT="0" distB="0" distL="0" distR="0" wp14:anchorId="57C12790" wp14:editId="74A7AA2A">
          <wp:extent cx="933450" cy="742950"/>
          <wp:effectExtent l="19050" t="0" r="0" b="0"/>
          <wp:docPr id="1" name="Pilt 1" descr="A graphic of a sword and sca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A graphic of a sword and scales&#10;&#10;AI-generated content may be incorrect."/>
                  <pic:cNvPicPr>
                    <a:picLocks noChangeAspect="1" noChangeArrowheads="1"/>
                  </pic:cNvPicPr>
                </pic:nvPicPr>
                <pic:blipFill>
                  <a:blip r:embed="rId1"/>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14:paraId="40EABDFF" w14:textId="77777777" w:rsidR="00815FE3" w:rsidRPr="002C078E" w:rsidRDefault="00815FE3" w:rsidP="00815FE3">
    <w:pPr>
      <w:pBdr>
        <w:bottom w:val="single" w:sz="1" w:space="1" w:color="000000"/>
      </w:pBdr>
      <w:jc w:val="center"/>
      <w:rPr>
        <w:sz w:val="36"/>
        <w:szCs w:val="36"/>
      </w:rPr>
    </w:pPr>
    <w:r w:rsidRPr="002C078E">
      <w:rPr>
        <w:sz w:val="36"/>
        <w:szCs w:val="36"/>
      </w:rPr>
      <w:t>EESTI ADVOKATUUR</w:t>
    </w:r>
  </w:p>
  <w:p w14:paraId="0887AB3E" w14:textId="77777777" w:rsidR="00815FE3" w:rsidRPr="008E6BA9" w:rsidRDefault="00815FE3" w:rsidP="00815FE3">
    <w:pPr>
      <w:jc w:val="center"/>
      <w:rPr>
        <w:sz w:val="28"/>
        <w:szCs w:val="28"/>
      </w:rPr>
    </w:pPr>
    <w:r>
      <w:rPr>
        <w:sz w:val="28"/>
        <w:szCs w:val="28"/>
      </w:rPr>
      <w:t>FINANTSÕIGUSE KOMISJON</w:t>
    </w:r>
  </w:p>
  <w:p w14:paraId="504F0F56" w14:textId="3B86B938" w:rsidR="00EB2483" w:rsidRPr="00815FE3" w:rsidRDefault="00EB2483" w:rsidP="00815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54B"/>
    <w:multiLevelType w:val="multilevel"/>
    <w:tmpl w:val="CAA6B7E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05C44D34"/>
    <w:multiLevelType w:val="hybridMultilevel"/>
    <w:tmpl w:val="88B6460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E53FDB"/>
    <w:multiLevelType w:val="multilevel"/>
    <w:tmpl w:val="8EC0E942"/>
    <w:lvl w:ilvl="0">
      <w:start w:val="1"/>
      <w:numFmt w:val="decimal"/>
      <w:pStyle w:val="ListParagraph"/>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C14FA6"/>
    <w:multiLevelType w:val="hybridMultilevel"/>
    <w:tmpl w:val="6BF40E4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5CE0ED2"/>
    <w:multiLevelType w:val="hybridMultilevel"/>
    <w:tmpl w:val="620A9EC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2C127106"/>
    <w:multiLevelType w:val="hybridMultilevel"/>
    <w:tmpl w:val="59B6ECD6"/>
    <w:lvl w:ilvl="0" w:tplc="D70214F4">
      <w:start w:val="1"/>
      <w:numFmt w:val="lowerLetter"/>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71B2D5F"/>
    <w:multiLevelType w:val="hybridMultilevel"/>
    <w:tmpl w:val="A7A28F1E"/>
    <w:lvl w:ilvl="0" w:tplc="1F2AEA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3732295"/>
    <w:multiLevelType w:val="hybridMultilevel"/>
    <w:tmpl w:val="747889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87D6EA9"/>
    <w:multiLevelType w:val="multilevel"/>
    <w:tmpl w:val="38D0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67BB6"/>
    <w:multiLevelType w:val="hybridMultilevel"/>
    <w:tmpl w:val="C9262E08"/>
    <w:lvl w:ilvl="0" w:tplc="0425000F">
      <w:start w:val="1"/>
      <w:numFmt w:val="decimal"/>
      <w:lvlText w:val="%1."/>
      <w:lvlJc w:val="left"/>
      <w:pPr>
        <w:tabs>
          <w:tab w:val="num" w:pos="360"/>
        </w:tabs>
        <w:ind w:left="360" w:hanging="360"/>
      </w:pPr>
      <w:rPr>
        <w:rFonts w:hint="default"/>
        <w:color w:val="auto"/>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0" w15:restartNumberingAfterBreak="0">
    <w:nsid w:val="6DC87387"/>
    <w:multiLevelType w:val="multilevel"/>
    <w:tmpl w:val="B8668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C6583"/>
    <w:multiLevelType w:val="multilevel"/>
    <w:tmpl w:val="9E78E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AB2456"/>
    <w:multiLevelType w:val="hybridMultilevel"/>
    <w:tmpl w:val="FEAE09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5857110">
    <w:abstractNumId w:val="12"/>
  </w:num>
  <w:num w:numId="2" w16cid:durableId="1184979609">
    <w:abstractNumId w:val="9"/>
  </w:num>
  <w:num w:numId="3" w16cid:durableId="1932620330">
    <w:abstractNumId w:val="1"/>
  </w:num>
  <w:num w:numId="4" w16cid:durableId="119395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771116">
    <w:abstractNumId w:val="3"/>
  </w:num>
  <w:num w:numId="6" w16cid:durableId="306740017">
    <w:abstractNumId w:val="4"/>
  </w:num>
  <w:num w:numId="7" w16cid:durableId="1034815148">
    <w:abstractNumId w:val="11"/>
  </w:num>
  <w:num w:numId="8" w16cid:durableId="1315377920">
    <w:abstractNumId w:val="7"/>
  </w:num>
  <w:num w:numId="9" w16cid:durableId="424426695">
    <w:abstractNumId w:val="5"/>
  </w:num>
  <w:num w:numId="10" w16cid:durableId="55052094">
    <w:abstractNumId w:val="6"/>
  </w:num>
  <w:num w:numId="11" w16cid:durableId="895508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044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639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344174">
    <w:abstractNumId w:val="10"/>
  </w:num>
  <w:num w:numId="15" w16cid:durableId="1658532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491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333695">
    <w:abstractNumId w:val="8"/>
  </w:num>
  <w:num w:numId="18" w16cid:durableId="1871336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24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3MzY2Njc2trAwNDdW0lEKTi0uzszPAykwrAUArPICoiwAAAA="/>
  </w:docVars>
  <w:rsids>
    <w:rsidRoot w:val="007B13CC"/>
    <w:rsid w:val="00001671"/>
    <w:rsid w:val="00002C7D"/>
    <w:rsid w:val="000135A9"/>
    <w:rsid w:val="000257F3"/>
    <w:rsid w:val="00026E1E"/>
    <w:rsid w:val="000315F6"/>
    <w:rsid w:val="000323A9"/>
    <w:rsid w:val="00041786"/>
    <w:rsid w:val="000422DB"/>
    <w:rsid w:val="00050B09"/>
    <w:rsid w:val="000535D7"/>
    <w:rsid w:val="000569E2"/>
    <w:rsid w:val="0006709D"/>
    <w:rsid w:val="000705DD"/>
    <w:rsid w:val="00073A7E"/>
    <w:rsid w:val="000802AD"/>
    <w:rsid w:val="00090873"/>
    <w:rsid w:val="000A5254"/>
    <w:rsid w:val="000A626C"/>
    <w:rsid w:val="000A63B8"/>
    <w:rsid w:val="000A6880"/>
    <w:rsid w:val="000B1DBD"/>
    <w:rsid w:val="000B3803"/>
    <w:rsid w:val="000B66D7"/>
    <w:rsid w:val="000C46D8"/>
    <w:rsid w:val="000C624D"/>
    <w:rsid w:val="000D4F7D"/>
    <w:rsid w:val="000D6C21"/>
    <w:rsid w:val="000D79ED"/>
    <w:rsid w:val="000D7AA6"/>
    <w:rsid w:val="00105582"/>
    <w:rsid w:val="00113810"/>
    <w:rsid w:val="00121D26"/>
    <w:rsid w:val="00126050"/>
    <w:rsid w:val="00126653"/>
    <w:rsid w:val="00130013"/>
    <w:rsid w:val="00132CC4"/>
    <w:rsid w:val="00135A1A"/>
    <w:rsid w:val="00140FC1"/>
    <w:rsid w:val="0017478C"/>
    <w:rsid w:val="001877A7"/>
    <w:rsid w:val="00187824"/>
    <w:rsid w:val="0019296B"/>
    <w:rsid w:val="001A1021"/>
    <w:rsid w:val="001A7312"/>
    <w:rsid w:val="001B6D2E"/>
    <w:rsid w:val="001B703A"/>
    <w:rsid w:val="001C01BF"/>
    <w:rsid w:val="001C2714"/>
    <w:rsid w:val="001C3387"/>
    <w:rsid w:val="001D1548"/>
    <w:rsid w:val="001F5279"/>
    <w:rsid w:val="00206C9C"/>
    <w:rsid w:val="00207B9A"/>
    <w:rsid w:val="002124E9"/>
    <w:rsid w:val="00212C48"/>
    <w:rsid w:val="00216E67"/>
    <w:rsid w:val="002252B5"/>
    <w:rsid w:val="00225E70"/>
    <w:rsid w:val="00226B88"/>
    <w:rsid w:val="00232DCC"/>
    <w:rsid w:val="00234020"/>
    <w:rsid w:val="002428C7"/>
    <w:rsid w:val="00246D9B"/>
    <w:rsid w:val="00246EA6"/>
    <w:rsid w:val="00247250"/>
    <w:rsid w:val="00250BE9"/>
    <w:rsid w:val="00252448"/>
    <w:rsid w:val="0026243B"/>
    <w:rsid w:val="002627FD"/>
    <w:rsid w:val="00263DC8"/>
    <w:rsid w:val="002708D7"/>
    <w:rsid w:val="00286EDB"/>
    <w:rsid w:val="0029177F"/>
    <w:rsid w:val="002A453F"/>
    <w:rsid w:val="002A47D2"/>
    <w:rsid w:val="002A7147"/>
    <w:rsid w:val="002A7246"/>
    <w:rsid w:val="002B36A0"/>
    <w:rsid w:val="002B7E7D"/>
    <w:rsid w:val="002C0485"/>
    <w:rsid w:val="002C078E"/>
    <w:rsid w:val="002C0FF1"/>
    <w:rsid w:val="002C1725"/>
    <w:rsid w:val="002C7073"/>
    <w:rsid w:val="002D5356"/>
    <w:rsid w:val="002D5A8F"/>
    <w:rsid w:val="002D7B6A"/>
    <w:rsid w:val="002F1F44"/>
    <w:rsid w:val="002F4493"/>
    <w:rsid w:val="002F45D3"/>
    <w:rsid w:val="002F500D"/>
    <w:rsid w:val="003047AF"/>
    <w:rsid w:val="003247A2"/>
    <w:rsid w:val="0033672C"/>
    <w:rsid w:val="00336EE9"/>
    <w:rsid w:val="0035278F"/>
    <w:rsid w:val="003533AF"/>
    <w:rsid w:val="00366AF4"/>
    <w:rsid w:val="003710F1"/>
    <w:rsid w:val="003818CA"/>
    <w:rsid w:val="00381ABD"/>
    <w:rsid w:val="00381E6F"/>
    <w:rsid w:val="00383623"/>
    <w:rsid w:val="003873B7"/>
    <w:rsid w:val="003954D4"/>
    <w:rsid w:val="00395A7F"/>
    <w:rsid w:val="00395DC3"/>
    <w:rsid w:val="003A08D5"/>
    <w:rsid w:val="003A0D6D"/>
    <w:rsid w:val="003A5398"/>
    <w:rsid w:val="003B06D8"/>
    <w:rsid w:val="003B2D27"/>
    <w:rsid w:val="003B74C2"/>
    <w:rsid w:val="003C1E2D"/>
    <w:rsid w:val="003D3508"/>
    <w:rsid w:val="003D6A0F"/>
    <w:rsid w:val="003F072D"/>
    <w:rsid w:val="003F7465"/>
    <w:rsid w:val="00443BE3"/>
    <w:rsid w:val="00444769"/>
    <w:rsid w:val="00447456"/>
    <w:rsid w:val="00447FD9"/>
    <w:rsid w:val="004520ED"/>
    <w:rsid w:val="0045348E"/>
    <w:rsid w:val="00453F49"/>
    <w:rsid w:val="0046413B"/>
    <w:rsid w:val="00467D2A"/>
    <w:rsid w:val="00484F39"/>
    <w:rsid w:val="004930A2"/>
    <w:rsid w:val="00493F1A"/>
    <w:rsid w:val="00493F21"/>
    <w:rsid w:val="004A0A91"/>
    <w:rsid w:val="004A1162"/>
    <w:rsid w:val="004A29F6"/>
    <w:rsid w:val="004B6AA6"/>
    <w:rsid w:val="004C23F4"/>
    <w:rsid w:val="004C5CE2"/>
    <w:rsid w:val="004C7793"/>
    <w:rsid w:val="004D03F6"/>
    <w:rsid w:val="004D2A77"/>
    <w:rsid w:val="004D71C7"/>
    <w:rsid w:val="004E08CA"/>
    <w:rsid w:val="004E3864"/>
    <w:rsid w:val="004F3888"/>
    <w:rsid w:val="004F4C9C"/>
    <w:rsid w:val="004F5097"/>
    <w:rsid w:val="0050030C"/>
    <w:rsid w:val="00506C9B"/>
    <w:rsid w:val="0051039F"/>
    <w:rsid w:val="00511819"/>
    <w:rsid w:val="0051688E"/>
    <w:rsid w:val="00526448"/>
    <w:rsid w:val="005266B0"/>
    <w:rsid w:val="00533EFB"/>
    <w:rsid w:val="00536CB0"/>
    <w:rsid w:val="005418C2"/>
    <w:rsid w:val="00553560"/>
    <w:rsid w:val="0055778C"/>
    <w:rsid w:val="005579EB"/>
    <w:rsid w:val="005613A9"/>
    <w:rsid w:val="00594166"/>
    <w:rsid w:val="005A2264"/>
    <w:rsid w:val="005A28AE"/>
    <w:rsid w:val="005A2A40"/>
    <w:rsid w:val="005A4877"/>
    <w:rsid w:val="005A59B1"/>
    <w:rsid w:val="005B0785"/>
    <w:rsid w:val="005B249B"/>
    <w:rsid w:val="005B35E7"/>
    <w:rsid w:val="005B431E"/>
    <w:rsid w:val="005B611F"/>
    <w:rsid w:val="005B75F8"/>
    <w:rsid w:val="005C0B02"/>
    <w:rsid w:val="005C2BD9"/>
    <w:rsid w:val="005C526F"/>
    <w:rsid w:val="005D0509"/>
    <w:rsid w:val="005D0B6E"/>
    <w:rsid w:val="005D1345"/>
    <w:rsid w:val="005E052E"/>
    <w:rsid w:val="005E6A6A"/>
    <w:rsid w:val="005E6F4E"/>
    <w:rsid w:val="005F0861"/>
    <w:rsid w:val="005F32B5"/>
    <w:rsid w:val="005F7BEF"/>
    <w:rsid w:val="00600177"/>
    <w:rsid w:val="00602575"/>
    <w:rsid w:val="006112D8"/>
    <w:rsid w:val="00611FE0"/>
    <w:rsid w:val="00623AF6"/>
    <w:rsid w:val="0063705E"/>
    <w:rsid w:val="0063713E"/>
    <w:rsid w:val="00642E79"/>
    <w:rsid w:val="006531C7"/>
    <w:rsid w:val="00655D97"/>
    <w:rsid w:val="00676E33"/>
    <w:rsid w:val="006777FF"/>
    <w:rsid w:val="00684945"/>
    <w:rsid w:val="00691AE0"/>
    <w:rsid w:val="006924D3"/>
    <w:rsid w:val="006926E3"/>
    <w:rsid w:val="006A3355"/>
    <w:rsid w:val="006A3E80"/>
    <w:rsid w:val="006A7D61"/>
    <w:rsid w:val="006B34A6"/>
    <w:rsid w:val="006B4EB8"/>
    <w:rsid w:val="006C1933"/>
    <w:rsid w:val="006C66EF"/>
    <w:rsid w:val="006D0923"/>
    <w:rsid w:val="006D3F11"/>
    <w:rsid w:val="006E2FDE"/>
    <w:rsid w:val="006E34AD"/>
    <w:rsid w:val="006F02FF"/>
    <w:rsid w:val="006F11B6"/>
    <w:rsid w:val="006F5AD4"/>
    <w:rsid w:val="0070028B"/>
    <w:rsid w:val="00700742"/>
    <w:rsid w:val="00711AFD"/>
    <w:rsid w:val="007121EE"/>
    <w:rsid w:val="00712899"/>
    <w:rsid w:val="00712B01"/>
    <w:rsid w:val="00715999"/>
    <w:rsid w:val="00732735"/>
    <w:rsid w:val="007427EB"/>
    <w:rsid w:val="00742D2F"/>
    <w:rsid w:val="007579DF"/>
    <w:rsid w:val="00764E68"/>
    <w:rsid w:val="00765107"/>
    <w:rsid w:val="007678F6"/>
    <w:rsid w:val="00782481"/>
    <w:rsid w:val="00783A3A"/>
    <w:rsid w:val="007861CC"/>
    <w:rsid w:val="00786429"/>
    <w:rsid w:val="00791BDA"/>
    <w:rsid w:val="00791CD9"/>
    <w:rsid w:val="007A56DA"/>
    <w:rsid w:val="007A7D68"/>
    <w:rsid w:val="007A7F11"/>
    <w:rsid w:val="007B13CC"/>
    <w:rsid w:val="007B3AB5"/>
    <w:rsid w:val="007D15F7"/>
    <w:rsid w:val="007D18E2"/>
    <w:rsid w:val="007D3EF3"/>
    <w:rsid w:val="007E2F0B"/>
    <w:rsid w:val="007E324F"/>
    <w:rsid w:val="007E3806"/>
    <w:rsid w:val="007F7295"/>
    <w:rsid w:val="00802210"/>
    <w:rsid w:val="00804233"/>
    <w:rsid w:val="00805BBD"/>
    <w:rsid w:val="00810014"/>
    <w:rsid w:val="00815FE3"/>
    <w:rsid w:val="00821B68"/>
    <w:rsid w:val="00826055"/>
    <w:rsid w:val="00827C1F"/>
    <w:rsid w:val="008303F9"/>
    <w:rsid w:val="00831387"/>
    <w:rsid w:val="0085001D"/>
    <w:rsid w:val="008575DA"/>
    <w:rsid w:val="008609EF"/>
    <w:rsid w:val="008617E5"/>
    <w:rsid w:val="00871EFB"/>
    <w:rsid w:val="008741E3"/>
    <w:rsid w:val="00874B62"/>
    <w:rsid w:val="008778CA"/>
    <w:rsid w:val="008803D7"/>
    <w:rsid w:val="00883E22"/>
    <w:rsid w:val="00891D22"/>
    <w:rsid w:val="008966F5"/>
    <w:rsid w:val="008B1A43"/>
    <w:rsid w:val="008B6217"/>
    <w:rsid w:val="008C0574"/>
    <w:rsid w:val="008C362C"/>
    <w:rsid w:val="008C6718"/>
    <w:rsid w:val="008D772F"/>
    <w:rsid w:val="008D7DD5"/>
    <w:rsid w:val="008E04CC"/>
    <w:rsid w:val="008E0535"/>
    <w:rsid w:val="008E4259"/>
    <w:rsid w:val="008E6BA9"/>
    <w:rsid w:val="008F128B"/>
    <w:rsid w:val="0090033B"/>
    <w:rsid w:val="00911BEA"/>
    <w:rsid w:val="00915B50"/>
    <w:rsid w:val="00941A2C"/>
    <w:rsid w:val="00947E33"/>
    <w:rsid w:val="00953C21"/>
    <w:rsid w:val="009551DC"/>
    <w:rsid w:val="00961C7B"/>
    <w:rsid w:val="009642E7"/>
    <w:rsid w:val="00983B93"/>
    <w:rsid w:val="00985A99"/>
    <w:rsid w:val="00991452"/>
    <w:rsid w:val="00994CAB"/>
    <w:rsid w:val="009B1DB2"/>
    <w:rsid w:val="009C2299"/>
    <w:rsid w:val="009C4109"/>
    <w:rsid w:val="009C4AB3"/>
    <w:rsid w:val="009D4AC1"/>
    <w:rsid w:val="009D5AA8"/>
    <w:rsid w:val="009E2082"/>
    <w:rsid w:val="009F2069"/>
    <w:rsid w:val="009F374F"/>
    <w:rsid w:val="009F7B3F"/>
    <w:rsid w:val="009F7F6E"/>
    <w:rsid w:val="00A01E70"/>
    <w:rsid w:val="00A05734"/>
    <w:rsid w:val="00A11DAA"/>
    <w:rsid w:val="00A3176D"/>
    <w:rsid w:val="00A32743"/>
    <w:rsid w:val="00A370ED"/>
    <w:rsid w:val="00A40E71"/>
    <w:rsid w:val="00A5067D"/>
    <w:rsid w:val="00A563DF"/>
    <w:rsid w:val="00A65DE1"/>
    <w:rsid w:val="00A661B6"/>
    <w:rsid w:val="00A670C7"/>
    <w:rsid w:val="00A768DE"/>
    <w:rsid w:val="00A83910"/>
    <w:rsid w:val="00A83BF9"/>
    <w:rsid w:val="00AA160E"/>
    <w:rsid w:val="00AA3239"/>
    <w:rsid w:val="00AA3357"/>
    <w:rsid w:val="00AA51CF"/>
    <w:rsid w:val="00AB06EA"/>
    <w:rsid w:val="00AB1219"/>
    <w:rsid w:val="00AB27C0"/>
    <w:rsid w:val="00AC6E48"/>
    <w:rsid w:val="00AD39D3"/>
    <w:rsid w:val="00AE4A71"/>
    <w:rsid w:val="00AF184E"/>
    <w:rsid w:val="00AF4722"/>
    <w:rsid w:val="00B2053D"/>
    <w:rsid w:val="00B20CC2"/>
    <w:rsid w:val="00B21AAD"/>
    <w:rsid w:val="00B2477C"/>
    <w:rsid w:val="00B26E4D"/>
    <w:rsid w:val="00B30011"/>
    <w:rsid w:val="00B42080"/>
    <w:rsid w:val="00B470BA"/>
    <w:rsid w:val="00B5295D"/>
    <w:rsid w:val="00B56BD9"/>
    <w:rsid w:val="00B57943"/>
    <w:rsid w:val="00B62324"/>
    <w:rsid w:val="00B633C9"/>
    <w:rsid w:val="00B65C16"/>
    <w:rsid w:val="00B67947"/>
    <w:rsid w:val="00B7086E"/>
    <w:rsid w:val="00B76003"/>
    <w:rsid w:val="00B76CD5"/>
    <w:rsid w:val="00B8036A"/>
    <w:rsid w:val="00B867D2"/>
    <w:rsid w:val="00B953D8"/>
    <w:rsid w:val="00BA0F15"/>
    <w:rsid w:val="00BA1715"/>
    <w:rsid w:val="00BA7F12"/>
    <w:rsid w:val="00BB34FF"/>
    <w:rsid w:val="00BB444F"/>
    <w:rsid w:val="00BB6E8E"/>
    <w:rsid w:val="00BC32F3"/>
    <w:rsid w:val="00BC4B55"/>
    <w:rsid w:val="00BC7491"/>
    <w:rsid w:val="00BD3E97"/>
    <w:rsid w:val="00BF2991"/>
    <w:rsid w:val="00C04138"/>
    <w:rsid w:val="00C056C2"/>
    <w:rsid w:val="00C15689"/>
    <w:rsid w:val="00C277B8"/>
    <w:rsid w:val="00C3568C"/>
    <w:rsid w:val="00C4193E"/>
    <w:rsid w:val="00C53CCA"/>
    <w:rsid w:val="00C545E1"/>
    <w:rsid w:val="00C63156"/>
    <w:rsid w:val="00C65AE3"/>
    <w:rsid w:val="00C6745F"/>
    <w:rsid w:val="00C71585"/>
    <w:rsid w:val="00C71E4A"/>
    <w:rsid w:val="00C73ED1"/>
    <w:rsid w:val="00C73FCB"/>
    <w:rsid w:val="00C77DB7"/>
    <w:rsid w:val="00C8043E"/>
    <w:rsid w:val="00C842F8"/>
    <w:rsid w:val="00C84438"/>
    <w:rsid w:val="00C907A8"/>
    <w:rsid w:val="00CA1C24"/>
    <w:rsid w:val="00CA2014"/>
    <w:rsid w:val="00CA701C"/>
    <w:rsid w:val="00CB3FD9"/>
    <w:rsid w:val="00CB4A9B"/>
    <w:rsid w:val="00CB66F3"/>
    <w:rsid w:val="00CC63DE"/>
    <w:rsid w:val="00CD086D"/>
    <w:rsid w:val="00CD0E95"/>
    <w:rsid w:val="00CD0F2D"/>
    <w:rsid w:val="00CD4236"/>
    <w:rsid w:val="00CE272B"/>
    <w:rsid w:val="00CE4F3F"/>
    <w:rsid w:val="00CF0F95"/>
    <w:rsid w:val="00D00F9E"/>
    <w:rsid w:val="00D21073"/>
    <w:rsid w:val="00D24B20"/>
    <w:rsid w:val="00D255BC"/>
    <w:rsid w:val="00D25D7B"/>
    <w:rsid w:val="00D37AB3"/>
    <w:rsid w:val="00D602B9"/>
    <w:rsid w:val="00D7718F"/>
    <w:rsid w:val="00D8402F"/>
    <w:rsid w:val="00D851B9"/>
    <w:rsid w:val="00D85683"/>
    <w:rsid w:val="00D87C7E"/>
    <w:rsid w:val="00D91E9F"/>
    <w:rsid w:val="00D93D6F"/>
    <w:rsid w:val="00DA2030"/>
    <w:rsid w:val="00DA4809"/>
    <w:rsid w:val="00DA48FF"/>
    <w:rsid w:val="00DA5820"/>
    <w:rsid w:val="00DA5CB0"/>
    <w:rsid w:val="00DA72D6"/>
    <w:rsid w:val="00DB5EDE"/>
    <w:rsid w:val="00DB75FE"/>
    <w:rsid w:val="00DE0E16"/>
    <w:rsid w:val="00DE1B68"/>
    <w:rsid w:val="00DE34CC"/>
    <w:rsid w:val="00DE36B9"/>
    <w:rsid w:val="00DE4F36"/>
    <w:rsid w:val="00DF0360"/>
    <w:rsid w:val="00DF0749"/>
    <w:rsid w:val="00DF6F67"/>
    <w:rsid w:val="00DF7A76"/>
    <w:rsid w:val="00E0215C"/>
    <w:rsid w:val="00E05A03"/>
    <w:rsid w:val="00E06CD9"/>
    <w:rsid w:val="00E12432"/>
    <w:rsid w:val="00E166AD"/>
    <w:rsid w:val="00E244CA"/>
    <w:rsid w:val="00E27D1B"/>
    <w:rsid w:val="00E325C9"/>
    <w:rsid w:val="00E411F5"/>
    <w:rsid w:val="00E524D3"/>
    <w:rsid w:val="00E55ED1"/>
    <w:rsid w:val="00E6186D"/>
    <w:rsid w:val="00E65ECC"/>
    <w:rsid w:val="00E67B5F"/>
    <w:rsid w:val="00E70C08"/>
    <w:rsid w:val="00E7241D"/>
    <w:rsid w:val="00E76804"/>
    <w:rsid w:val="00E76F1F"/>
    <w:rsid w:val="00E80A7B"/>
    <w:rsid w:val="00E839B5"/>
    <w:rsid w:val="00E924E4"/>
    <w:rsid w:val="00E94CD2"/>
    <w:rsid w:val="00E97C0C"/>
    <w:rsid w:val="00EA1934"/>
    <w:rsid w:val="00EB2483"/>
    <w:rsid w:val="00EC1A26"/>
    <w:rsid w:val="00ED5A37"/>
    <w:rsid w:val="00ED61F2"/>
    <w:rsid w:val="00EE52EF"/>
    <w:rsid w:val="00EE621B"/>
    <w:rsid w:val="00EF3C33"/>
    <w:rsid w:val="00EF4FAA"/>
    <w:rsid w:val="00EF5F37"/>
    <w:rsid w:val="00F05E35"/>
    <w:rsid w:val="00F1286C"/>
    <w:rsid w:val="00F22D04"/>
    <w:rsid w:val="00F25A2B"/>
    <w:rsid w:val="00F36997"/>
    <w:rsid w:val="00F55B7A"/>
    <w:rsid w:val="00F648F6"/>
    <w:rsid w:val="00F65C22"/>
    <w:rsid w:val="00F7499F"/>
    <w:rsid w:val="00F9368A"/>
    <w:rsid w:val="00FA74D9"/>
    <w:rsid w:val="00FB0891"/>
    <w:rsid w:val="00FB37A9"/>
    <w:rsid w:val="00FC1DDB"/>
    <w:rsid w:val="00FC4A3D"/>
    <w:rsid w:val="00FC79BB"/>
    <w:rsid w:val="00FD1C45"/>
    <w:rsid w:val="00FD55AA"/>
    <w:rsid w:val="00FD59CA"/>
    <w:rsid w:val="00FE5356"/>
    <w:rsid w:val="00FE6490"/>
    <w:rsid w:val="00FE6D10"/>
    <w:rsid w:val="00FF12AD"/>
    <w:rsid w:val="00FF318F"/>
    <w:rsid w:val="00FF5B0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0C651C"/>
  <w15:docId w15:val="{55094A18-42BC-4A5C-B540-991B329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DB7"/>
    <w:pPr>
      <w:widowControl w:val="0"/>
      <w:suppressAutoHyphens/>
      <w:jc w:val="both"/>
    </w:pPr>
    <w:rPr>
      <w:rFonts w:eastAsia="HG Mincho Light J"/>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sz w:val="20"/>
    </w:rPr>
  </w:style>
  <w:style w:type="paragraph" w:customStyle="1" w:styleId="Index">
    <w:name w:val="Index"/>
    <w:basedOn w:val="Normal"/>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link w:val="FooterChar"/>
    <w:pPr>
      <w:suppressLineNumbers/>
      <w:tabs>
        <w:tab w:val="center" w:pos="4818"/>
        <w:tab w:val="right" w:pos="9637"/>
      </w:tabs>
    </w:pPr>
  </w:style>
  <w:style w:type="character" w:styleId="Hyperlink">
    <w:name w:val="Hyperlink"/>
    <w:basedOn w:val="DefaultParagraphFont"/>
    <w:rsid w:val="007579DF"/>
    <w:rPr>
      <w:color w:val="0000FF"/>
      <w:u w:val="single"/>
    </w:rPr>
  </w:style>
  <w:style w:type="paragraph" w:styleId="BalloonText">
    <w:name w:val="Balloon Text"/>
    <w:basedOn w:val="Normal"/>
    <w:semiHidden/>
    <w:rsid w:val="00AB06EA"/>
    <w:rPr>
      <w:rFonts w:ascii="Tahoma" w:hAnsi="Tahoma" w:cs="Tahoma"/>
      <w:sz w:val="16"/>
      <w:szCs w:val="16"/>
    </w:rPr>
  </w:style>
  <w:style w:type="paragraph" w:styleId="NormalWeb">
    <w:name w:val="Normal (Web)"/>
    <w:basedOn w:val="Normal"/>
    <w:rsid w:val="004C5CE2"/>
    <w:rPr>
      <w:szCs w:val="24"/>
    </w:rPr>
  </w:style>
  <w:style w:type="character" w:styleId="Strong">
    <w:name w:val="Strong"/>
    <w:basedOn w:val="DefaultParagraphFont"/>
    <w:qFormat/>
    <w:rsid w:val="00D602B9"/>
    <w:rPr>
      <w:b/>
      <w:bCs/>
    </w:rPr>
  </w:style>
  <w:style w:type="paragraph" w:styleId="ListParagraph">
    <w:name w:val="List Paragraph"/>
    <w:basedOn w:val="Normal"/>
    <w:uiPriority w:val="34"/>
    <w:qFormat/>
    <w:rsid w:val="00FF318F"/>
    <w:pPr>
      <w:widowControl/>
      <w:numPr>
        <w:numId w:val="11"/>
      </w:numPr>
      <w:suppressAutoHyphens w:val="0"/>
    </w:pPr>
    <w:rPr>
      <w:rFonts w:eastAsiaTheme="minorHAnsi"/>
      <w:color w:val="auto"/>
      <w:szCs w:val="24"/>
    </w:rPr>
  </w:style>
  <w:style w:type="character" w:customStyle="1" w:styleId="FooterChar">
    <w:name w:val="Footer Char"/>
    <w:basedOn w:val="DefaultParagraphFont"/>
    <w:link w:val="Footer"/>
    <w:rsid w:val="00467D2A"/>
    <w:rPr>
      <w:rFonts w:eastAsia="HG Mincho Light J"/>
      <w:color w:val="000000"/>
      <w:sz w:val="24"/>
    </w:rPr>
  </w:style>
  <w:style w:type="character" w:styleId="CommentReference">
    <w:name w:val="annotation reference"/>
    <w:basedOn w:val="DefaultParagraphFont"/>
    <w:semiHidden/>
    <w:unhideWhenUsed/>
    <w:rsid w:val="00B62324"/>
    <w:rPr>
      <w:sz w:val="16"/>
      <w:szCs w:val="16"/>
    </w:rPr>
  </w:style>
  <w:style w:type="paragraph" w:styleId="CommentText">
    <w:name w:val="annotation text"/>
    <w:basedOn w:val="Normal"/>
    <w:link w:val="CommentTextChar"/>
    <w:unhideWhenUsed/>
    <w:rsid w:val="00B62324"/>
    <w:rPr>
      <w:sz w:val="20"/>
    </w:rPr>
  </w:style>
  <w:style w:type="character" w:customStyle="1" w:styleId="CommentTextChar">
    <w:name w:val="Comment Text Char"/>
    <w:basedOn w:val="DefaultParagraphFont"/>
    <w:link w:val="CommentText"/>
    <w:rsid w:val="00B62324"/>
    <w:rPr>
      <w:rFonts w:eastAsia="HG Mincho Light J"/>
      <w:color w:val="000000"/>
    </w:rPr>
  </w:style>
  <w:style w:type="paragraph" w:styleId="CommentSubject">
    <w:name w:val="annotation subject"/>
    <w:basedOn w:val="CommentText"/>
    <w:next w:val="CommentText"/>
    <w:link w:val="CommentSubjectChar"/>
    <w:semiHidden/>
    <w:unhideWhenUsed/>
    <w:rsid w:val="00B62324"/>
    <w:rPr>
      <w:b/>
      <w:bCs/>
    </w:rPr>
  </w:style>
  <w:style w:type="character" w:customStyle="1" w:styleId="CommentSubjectChar">
    <w:name w:val="Comment Subject Char"/>
    <w:basedOn w:val="CommentTextChar"/>
    <w:link w:val="CommentSubject"/>
    <w:semiHidden/>
    <w:rsid w:val="00B62324"/>
    <w:rPr>
      <w:rFonts w:eastAsia="HG Mincho Light J"/>
      <w:b/>
      <w:bCs/>
      <w:color w:val="000000"/>
    </w:rPr>
  </w:style>
  <w:style w:type="paragraph" w:styleId="FootnoteText">
    <w:name w:val="footnote text"/>
    <w:basedOn w:val="Normal"/>
    <w:link w:val="FootnoteTextChar"/>
    <w:unhideWhenUsed/>
    <w:rsid w:val="00126050"/>
    <w:rPr>
      <w:sz w:val="20"/>
    </w:rPr>
  </w:style>
  <w:style w:type="character" w:customStyle="1" w:styleId="FootnoteTextChar">
    <w:name w:val="Footnote Text Char"/>
    <w:basedOn w:val="DefaultParagraphFont"/>
    <w:link w:val="FootnoteText"/>
    <w:rsid w:val="00126050"/>
    <w:rPr>
      <w:rFonts w:eastAsia="HG Mincho Light J"/>
      <w:color w:val="000000"/>
    </w:rPr>
  </w:style>
  <w:style w:type="character" w:styleId="FootnoteReference">
    <w:name w:val="footnote reference"/>
    <w:basedOn w:val="DefaultParagraphFont"/>
    <w:semiHidden/>
    <w:unhideWhenUsed/>
    <w:rsid w:val="00126050"/>
    <w:rPr>
      <w:vertAlign w:val="superscript"/>
    </w:rPr>
  </w:style>
  <w:style w:type="paragraph" w:styleId="Revision">
    <w:name w:val="Revision"/>
    <w:hidden/>
    <w:uiPriority w:val="99"/>
    <w:semiHidden/>
    <w:rsid w:val="002124E9"/>
    <w:rPr>
      <w:rFonts w:eastAsia="HG Mincho Light J"/>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433">
      <w:bodyDiv w:val="1"/>
      <w:marLeft w:val="0"/>
      <w:marRight w:val="0"/>
      <w:marTop w:val="0"/>
      <w:marBottom w:val="0"/>
      <w:divBdr>
        <w:top w:val="none" w:sz="0" w:space="0" w:color="auto"/>
        <w:left w:val="none" w:sz="0" w:space="0" w:color="auto"/>
        <w:bottom w:val="none" w:sz="0" w:space="0" w:color="auto"/>
        <w:right w:val="none" w:sz="0" w:space="0" w:color="auto"/>
      </w:divBdr>
    </w:div>
    <w:div w:id="173081860">
      <w:bodyDiv w:val="1"/>
      <w:marLeft w:val="0"/>
      <w:marRight w:val="0"/>
      <w:marTop w:val="0"/>
      <w:marBottom w:val="0"/>
      <w:divBdr>
        <w:top w:val="none" w:sz="0" w:space="0" w:color="auto"/>
        <w:left w:val="none" w:sz="0" w:space="0" w:color="auto"/>
        <w:bottom w:val="none" w:sz="0" w:space="0" w:color="auto"/>
        <w:right w:val="none" w:sz="0" w:space="0" w:color="auto"/>
      </w:divBdr>
    </w:div>
    <w:div w:id="263808706">
      <w:bodyDiv w:val="1"/>
      <w:marLeft w:val="0"/>
      <w:marRight w:val="0"/>
      <w:marTop w:val="0"/>
      <w:marBottom w:val="0"/>
      <w:divBdr>
        <w:top w:val="none" w:sz="0" w:space="0" w:color="auto"/>
        <w:left w:val="none" w:sz="0" w:space="0" w:color="auto"/>
        <w:bottom w:val="none" w:sz="0" w:space="0" w:color="auto"/>
        <w:right w:val="none" w:sz="0" w:space="0" w:color="auto"/>
      </w:divBdr>
    </w:div>
    <w:div w:id="555354982">
      <w:bodyDiv w:val="1"/>
      <w:marLeft w:val="0"/>
      <w:marRight w:val="0"/>
      <w:marTop w:val="0"/>
      <w:marBottom w:val="0"/>
      <w:divBdr>
        <w:top w:val="none" w:sz="0" w:space="0" w:color="auto"/>
        <w:left w:val="none" w:sz="0" w:space="0" w:color="auto"/>
        <w:bottom w:val="none" w:sz="0" w:space="0" w:color="auto"/>
        <w:right w:val="none" w:sz="0" w:space="0" w:color="auto"/>
      </w:divBdr>
    </w:div>
    <w:div w:id="740757635">
      <w:bodyDiv w:val="1"/>
      <w:marLeft w:val="0"/>
      <w:marRight w:val="0"/>
      <w:marTop w:val="0"/>
      <w:marBottom w:val="0"/>
      <w:divBdr>
        <w:top w:val="none" w:sz="0" w:space="0" w:color="auto"/>
        <w:left w:val="none" w:sz="0" w:space="0" w:color="auto"/>
        <w:bottom w:val="none" w:sz="0" w:space="0" w:color="auto"/>
        <w:right w:val="none" w:sz="0" w:space="0" w:color="auto"/>
      </w:divBdr>
    </w:div>
    <w:div w:id="934095023">
      <w:bodyDiv w:val="1"/>
      <w:marLeft w:val="0"/>
      <w:marRight w:val="0"/>
      <w:marTop w:val="0"/>
      <w:marBottom w:val="0"/>
      <w:divBdr>
        <w:top w:val="none" w:sz="0" w:space="0" w:color="auto"/>
        <w:left w:val="none" w:sz="0" w:space="0" w:color="auto"/>
        <w:bottom w:val="none" w:sz="0" w:space="0" w:color="auto"/>
        <w:right w:val="none" w:sz="0" w:space="0" w:color="auto"/>
      </w:divBdr>
    </w:div>
    <w:div w:id="1468936252">
      <w:bodyDiv w:val="1"/>
      <w:marLeft w:val="0"/>
      <w:marRight w:val="0"/>
      <w:marTop w:val="0"/>
      <w:marBottom w:val="0"/>
      <w:divBdr>
        <w:top w:val="none" w:sz="0" w:space="0" w:color="auto"/>
        <w:left w:val="none" w:sz="0" w:space="0" w:color="auto"/>
        <w:bottom w:val="none" w:sz="0" w:space="0" w:color="auto"/>
        <w:right w:val="none" w:sz="0" w:space="0" w:color="auto"/>
      </w:divBdr>
    </w:div>
    <w:div w:id="1493250664">
      <w:bodyDiv w:val="1"/>
      <w:marLeft w:val="0"/>
      <w:marRight w:val="0"/>
      <w:marTop w:val="0"/>
      <w:marBottom w:val="0"/>
      <w:divBdr>
        <w:top w:val="none" w:sz="0" w:space="0" w:color="auto"/>
        <w:left w:val="none" w:sz="0" w:space="0" w:color="auto"/>
        <w:bottom w:val="none" w:sz="0" w:space="0" w:color="auto"/>
        <w:right w:val="none" w:sz="0" w:space="0" w:color="auto"/>
      </w:divBdr>
    </w:div>
    <w:div w:id="1533113434">
      <w:bodyDiv w:val="1"/>
      <w:marLeft w:val="0"/>
      <w:marRight w:val="0"/>
      <w:marTop w:val="0"/>
      <w:marBottom w:val="0"/>
      <w:divBdr>
        <w:top w:val="none" w:sz="0" w:space="0" w:color="auto"/>
        <w:left w:val="none" w:sz="0" w:space="0" w:color="auto"/>
        <w:bottom w:val="none" w:sz="0" w:space="0" w:color="auto"/>
        <w:right w:val="none" w:sz="0" w:space="0" w:color="auto"/>
      </w:divBdr>
    </w:div>
    <w:div w:id="1565333887">
      <w:bodyDiv w:val="1"/>
      <w:marLeft w:val="0"/>
      <w:marRight w:val="0"/>
      <w:marTop w:val="0"/>
      <w:marBottom w:val="0"/>
      <w:divBdr>
        <w:top w:val="none" w:sz="0" w:space="0" w:color="auto"/>
        <w:left w:val="none" w:sz="0" w:space="0" w:color="auto"/>
        <w:bottom w:val="none" w:sz="0" w:space="0" w:color="auto"/>
        <w:right w:val="none" w:sz="0" w:space="0" w:color="auto"/>
      </w:divBdr>
    </w:div>
    <w:div w:id="1590694742">
      <w:bodyDiv w:val="1"/>
      <w:marLeft w:val="0"/>
      <w:marRight w:val="0"/>
      <w:marTop w:val="0"/>
      <w:marBottom w:val="0"/>
      <w:divBdr>
        <w:top w:val="none" w:sz="0" w:space="0" w:color="auto"/>
        <w:left w:val="none" w:sz="0" w:space="0" w:color="auto"/>
        <w:bottom w:val="none" w:sz="0" w:space="0" w:color="auto"/>
        <w:right w:val="none" w:sz="0" w:space="0" w:color="auto"/>
      </w:divBdr>
    </w:div>
    <w:div w:id="1720015906">
      <w:bodyDiv w:val="1"/>
      <w:marLeft w:val="0"/>
      <w:marRight w:val="0"/>
      <w:marTop w:val="0"/>
      <w:marBottom w:val="0"/>
      <w:divBdr>
        <w:top w:val="none" w:sz="0" w:space="0" w:color="auto"/>
        <w:left w:val="none" w:sz="0" w:space="0" w:color="auto"/>
        <w:bottom w:val="none" w:sz="0" w:space="0" w:color="auto"/>
        <w:right w:val="none" w:sz="0" w:space="0" w:color="auto"/>
      </w:divBdr>
    </w:div>
    <w:div w:id="17519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LEGAL!12564025.2</documentid>
  <senderid>KATLIN.KRISAK</senderid>
  <senderemail>KATLIN.KRISAK@SORAINEN.COM</senderemail>
  <lastmodified>2025-08-27T14:31:00.0000000+03:00</lastmodified>
  <database>LEGAL</database>
</properties>
</file>

<file path=customXml/itemProps1.xml><?xml version="1.0" encoding="utf-8"?>
<ds:datastoreItem xmlns:ds="http://schemas.openxmlformats.org/officeDocument/2006/customXml" ds:itemID="{5E9BF6CF-452B-47E4-A93F-646A0785B4C0}">
  <ds:schemaRefs>
    <ds:schemaRef ds:uri="http://schemas.openxmlformats.org/officeDocument/2006/bibliography"/>
  </ds:schemaRefs>
</ds:datastoreItem>
</file>

<file path=customXml/itemProps2.xml><?xml version="1.0" encoding="utf-8"?>
<ds:datastoreItem xmlns:ds="http://schemas.openxmlformats.org/officeDocument/2006/customXml" ds:itemID="{D963525F-1BEB-42A8-BC18-F050E30BC958}">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2175</Words>
  <Characters>14937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Eesti Advokatuur</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Advokatuur</dc:title>
  <dc:creator>user</dc:creator>
  <cp:lastModifiedBy>TEGOS</cp:lastModifiedBy>
  <cp:revision>4</cp:revision>
  <cp:lastPrinted>2010-07-13T06:40:00Z</cp:lastPrinted>
  <dcterms:created xsi:type="dcterms:W3CDTF">2025-08-27T13:07:00Z</dcterms:created>
  <dcterms:modified xsi:type="dcterms:W3CDTF">2025-08-27T14:21:00Z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b005f206-9275-4660-9c04-0ac77d779e7b</vt:lpwstr>
  </property>
</Properties>
</file>